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487D9" w14:textId="7E69D79B" w:rsidR="00625B19" w:rsidRPr="00F97042" w:rsidRDefault="00625B19" w:rsidP="00625B19">
      <w:pPr>
        <w:tabs>
          <w:tab w:val="right" w:pos="9639"/>
        </w:tabs>
        <w:spacing w:after="60"/>
        <w:rPr>
          <w:rFonts w:ascii="Arial" w:hAnsi="Arial"/>
          <w:b/>
          <w:sz w:val="22"/>
          <w:szCs w:val="22"/>
        </w:rPr>
      </w:pPr>
      <w:r w:rsidRPr="00544730">
        <w:rPr>
          <w:rFonts w:ascii="Arial" w:hAnsi="Arial"/>
          <w:b/>
          <w:sz w:val="22"/>
          <w:szCs w:val="22"/>
        </w:rPr>
        <w:t>3GPP TSG RAN WG1 Meeting #8</w:t>
      </w:r>
      <w:r w:rsidR="008969D6">
        <w:rPr>
          <w:rFonts w:ascii="Arial" w:hAnsi="Arial"/>
          <w:b/>
          <w:sz w:val="22"/>
          <w:szCs w:val="22"/>
        </w:rPr>
        <w:t>7</w:t>
      </w:r>
      <w:r>
        <w:rPr>
          <w:rFonts w:ascii="Arial" w:hAnsi="Arial"/>
          <w:b/>
          <w:sz w:val="22"/>
          <w:szCs w:val="22"/>
        </w:rPr>
        <w:tab/>
      </w:r>
      <w:r w:rsidR="00722FF5" w:rsidRPr="00722FF5">
        <w:rPr>
          <w:rFonts w:ascii="Arial" w:hAnsi="Arial"/>
          <w:b/>
          <w:sz w:val="22"/>
          <w:szCs w:val="22"/>
        </w:rPr>
        <w:t>R1-16</w:t>
      </w:r>
      <w:r w:rsidR="008969D6">
        <w:rPr>
          <w:rFonts w:ascii="Arial" w:hAnsi="Arial"/>
          <w:b/>
          <w:sz w:val="22"/>
          <w:szCs w:val="22"/>
        </w:rPr>
        <w:t>11538</w:t>
      </w:r>
    </w:p>
    <w:p w14:paraId="557BF509" w14:textId="14F741E8" w:rsidR="008969D6" w:rsidRDefault="008969D6" w:rsidP="008969D6">
      <w:pPr>
        <w:pStyle w:val="Header"/>
        <w:widowControl w:val="0"/>
        <w:rPr>
          <w:rFonts w:ascii="Arial" w:hAnsi="Arial" w:cs="Arial"/>
          <w:b/>
          <w:bCs/>
          <w:sz w:val="28"/>
          <w:lang w:val="en-US" w:eastAsia="ja-JP"/>
        </w:rPr>
      </w:pPr>
      <w:r w:rsidRPr="008969D6">
        <w:rPr>
          <w:rFonts w:ascii="Arial" w:hAnsi="Arial"/>
          <w:b/>
          <w:sz w:val="22"/>
          <w:szCs w:val="22"/>
        </w:rPr>
        <w:t>Reno,</w:t>
      </w:r>
      <w:r w:rsidRPr="008969D6">
        <w:rPr>
          <w:rFonts w:ascii="Arial" w:hAnsi="Arial" w:hint="eastAsia"/>
          <w:b/>
          <w:sz w:val="22"/>
          <w:szCs w:val="22"/>
        </w:rPr>
        <w:t xml:space="preserve"> USA,</w:t>
      </w:r>
      <w:r w:rsidRPr="008969D6">
        <w:rPr>
          <w:rFonts w:ascii="Arial" w:hAnsi="Arial"/>
          <w:b/>
          <w:sz w:val="22"/>
          <w:szCs w:val="22"/>
        </w:rPr>
        <w:t xml:space="preserve"> </w:t>
      </w:r>
      <w:r w:rsidR="008A1B4F">
        <w:rPr>
          <w:rFonts w:ascii="Arial" w:hAnsi="Arial"/>
          <w:b/>
          <w:sz w:val="22"/>
          <w:szCs w:val="22"/>
        </w:rPr>
        <w:t>14</w:t>
      </w:r>
      <w:r w:rsidRPr="008969D6">
        <w:rPr>
          <w:rFonts w:ascii="Arial" w:hAnsi="Arial" w:hint="eastAsia"/>
          <w:b/>
          <w:sz w:val="22"/>
          <w:szCs w:val="22"/>
        </w:rPr>
        <w:t xml:space="preserve">th </w:t>
      </w:r>
      <w:r w:rsidRPr="008969D6">
        <w:rPr>
          <w:rFonts w:ascii="Arial" w:hAnsi="Arial"/>
          <w:b/>
          <w:sz w:val="22"/>
          <w:szCs w:val="22"/>
        </w:rPr>
        <w:t xml:space="preserve">- </w:t>
      </w:r>
      <w:r w:rsidR="008A1B4F">
        <w:rPr>
          <w:rFonts w:ascii="Arial" w:hAnsi="Arial" w:hint="eastAsia"/>
          <w:b/>
          <w:sz w:val="22"/>
          <w:szCs w:val="22"/>
        </w:rPr>
        <w:t>18</w:t>
      </w:r>
      <w:bookmarkStart w:id="0" w:name="_GoBack"/>
      <w:bookmarkEnd w:id="0"/>
      <w:r w:rsidRPr="008969D6">
        <w:rPr>
          <w:rFonts w:ascii="Arial" w:hAnsi="Arial" w:hint="eastAsia"/>
          <w:b/>
          <w:sz w:val="22"/>
          <w:szCs w:val="22"/>
        </w:rPr>
        <w:t xml:space="preserve">th </w:t>
      </w:r>
      <w:r w:rsidRPr="008969D6">
        <w:rPr>
          <w:rFonts w:ascii="Arial" w:hAnsi="Arial"/>
          <w:b/>
          <w:sz w:val="22"/>
          <w:szCs w:val="22"/>
        </w:rPr>
        <w:t>November 201</w:t>
      </w:r>
      <w:r w:rsidRPr="008969D6">
        <w:rPr>
          <w:rFonts w:ascii="Arial" w:hAnsi="Arial" w:hint="eastAsia"/>
          <w:b/>
          <w:sz w:val="22"/>
          <w:szCs w:val="22"/>
        </w:rPr>
        <w:t>6</w:t>
      </w:r>
    </w:p>
    <w:p w14:paraId="443693D9" w14:textId="77777777" w:rsidR="00625B19" w:rsidRPr="008969D6" w:rsidRDefault="00625B19" w:rsidP="00625B19">
      <w:pPr>
        <w:rPr>
          <w:rFonts w:ascii="Arial" w:hAnsi="Arial"/>
          <w:b/>
          <w:sz w:val="22"/>
          <w:szCs w:val="22"/>
          <w:lang w:val="en-US"/>
        </w:rPr>
      </w:pPr>
    </w:p>
    <w:p w14:paraId="7CD2BDCD" w14:textId="77777777" w:rsidR="00625B19" w:rsidRPr="003836D7" w:rsidRDefault="00625B19" w:rsidP="00625B19">
      <w:pPr>
        <w:widowControl w:val="0"/>
        <w:tabs>
          <w:tab w:val="left" w:pos="1701"/>
          <w:tab w:val="right" w:pos="9072"/>
          <w:tab w:val="right" w:pos="10206"/>
        </w:tabs>
        <w:jc w:val="both"/>
        <w:rPr>
          <w:rFonts w:ascii="Arial" w:eastAsia="Batang" w:hAnsi="Arial"/>
          <w:b/>
          <w:sz w:val="18"/>
          <w:lang w:val="en-AU"/>
        </w:rPr>
      </w:pPr>
    </w:p>
    <w:p w14:paraId="3BC856BC" w14:textId="77777777" w:rsidR="00625B19" w:rsidRPr="002B534B" w:rsidRDefault="00625B19" w:rsidP="00625B19">
      <w:pPr>
        <w:widowControl w:val="0"/>
        <w:jc w:val="both"/>
        <w:rPr>
          <w:rFonts w:ascii="Times" w:eastAsia="Batang" w:hAnsi="Times"/>
          <w:lang w:val="en-US"/>
        </w:rPr>
      </w:pPr>
    </w:p>
    <w:p w14:paraId="0FB44E7B"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 xml:space="preserve">Source: </w:t>
      </w:r>
      <w:r w:rsidRPr="003836D7">
        <w:rPr>
          <w:rFonts w:eastAsia="Times New Roman"/>
          <w:b/>
          <w:sz w:val="24"/>
          <w:lang w:eastAsia="ja-JP"/>
        </w:rPr>
        <w:tab/>
      </w:r>
      <w:r w:rsidRPr="003836D7">
        <w:rPr>
          <w:rFonts w:eastAsia="Times New Roman" w:hint="eastAsia"/>
          <w:b/>
          <w:sz w:val="24"/>
          <w:lang w:eastAsia="ja-JP"/>
        </w:rPr>
        <w:t>SONY</w:t>
      </w:r>
    </w:p>
    <w:p w14:paraId="1333728B" w14:textId="54EA1A7A"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Title:</w:t>
      </w:r>
      <w:bookmarkStart w:id="1" w:name="Title"/>
      <w:bookmarkEnd w:id="1"/>
      <w:r w:rsidRPr="003836D7">
        <w:rPr>
          <w:rFonts w:eastAsia="Times New Roman"/>
          <w:b/>
          <w:sz w:val="24"/>
          <w:lang w:eastAsia="ja-JP"/>
        </w:rPr>
        <w:tab/>
      </w:r>
      <w:r w:rsidR="008969D6">
        <w:rPr>
          <w:rFonts w:eastAsia="Times New Roman"/>
          <w:b/>
          <w:sz w:val="24"/>
          <w:lang w:eastAsia="ja-JP"/>
        </w:rPr>
        <w:t xml:space="preserve">OTDOA </w:t>
      </w:r>
      <w:r w:rsidR="00722FF5" w:rsidRPr="00722FF5">
        <w:rPr>
          <w:rFonts w:eastAsia="Times New Roman"/>
          <w:b/>
          <w:sz w:val="24"/>
          <w:lang w:eastAsia="ja-JP"/>
        </w:rPr>
        <w:t>for feMTC</w:t>
      </w:r>
    </w:p>
    <w:p w14:paraId="37BDF844" w14:textId="2CE85E58" w:rsidR="00625B19" w:rsidRPr="003836D7" w:rsidRDefault="006841B3" w:rsidP="00625B19">
      <w:pPr>
        <w:tabs>
          <w:tab w:val="left" w:pos="1800"/>
        </w:tabs>
        <w:overflowPunct w:val="0"/>
        <w:autoSpaceDE w:val="0"/>
        <w:autoSpaceDN w:val="0"/>
        <w:adjustRightInd w:val="0"/>
        <w:spacing w:after="60"/>
        <w:textAlignment w:val="baseline"/>
        <w:rPr>
          <w:rFonts w:eastAsia="Times New Roman"/>
          <w:b/>
          <w:sz w:val="24"/>
          <w:lang w:eastAsia="ja-JP"/>
        </w:rPr>
      </w:pPr>
      <w:r>
        <w:rPr>
          <w:rFonts w:eastAsia="Times New Roman"/>
          <w:b/>
          <w:sz w:val="24"/>
          <w:lang w:eastAsia="ja-JP"/>
        </w:rPr>
        <w:t>Agenda item:</w:t>
      </w:r>
      <w:r>
        <w:rPr>
          <w:rFonts w:eastAsia="Times New Roman"/>
          <w:b/>
          <w:sz w:val="24"/>
          <w:lang w:eastAsia="ja-JP"/>
        </w:rPr>
        <w:tab/>
      </w:r>
      <w:r w:rsidR="008969D6">
        <w:rPr>
          <w:rFonts w:eastAsia="Times New Roman"/>
          <w:b/>
          <w:sz w:val="24"/>
          <w:lang w:eastAsia="ja-JP"/>
        </w:rPr>
        <w:t>6</w:t>
      </w:r>
      <w:r>
        <w:rPr>
          <w:rFonts w:eastAsia="Times New Roman"/>
          <w:b/>
          <w:sz w:val="24"/>
          <w:lang w:eastAsia="ja-JP"/>
        </w:rPr>
        <w:t>.</w:t>
      </w:r>
      <w:r w:rsidR="00722FF5">
        <w:rPr>
          <w:rFonts w:eastAsia="Times New Roman"/>
          <w:b/>
          <w:sz w:val="24"/>
          <w:lang w:eastAsia="ja-JP"/>
        </w:rPr>
        <w:t>2</w:t>
      </w:r>
      <w:r>
        <w:rPr>
          <w:rFonts w:eastAsia="Times New Roman"/>
          <w:b/>
          <w:sz w:val="24"/>
          <w:lang w:eastAsia="ja-JP"/>
        </w:rPr>
        <w:t>.</w:t>
      </w:r>
      <w:r w:rsidR="00722FF5">
        <w:rPr>
          <w:rFonts w:eastAsia="Times New Roman"/>
          <w:b/>
          <w:sz w:val="24"/>
          <w:lang w:eastAsia="ja-JP"/>
        </w:rPr>
        <w:t>8</w:t>
      </w:r>
      <w:r>
        <w:rPr>
          <w:rFonts w:eastAsia="Times New Roman"/>
          <w:b/>
          <w:sz w:val="24"/>
          <w:lang w:eastAsia="ja-JP"/>
        </w:rPr>
        <w:t>.</w:t>
      </w:r>
      <w:r w:rsidR="00722FF5">
        <w:rPr>
          <w:rFonts w:eastAsia="Times New Roman"/>
          <w:b/>
          <w:sz w:val="24"/>
          <w:lang w:eastAsia="ja-JP"/>
        </w:rPr>
        <w:t>3</w:t>
      </w:r>
    </w:p>
    <w:p w14:paraId="0DEA2445"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Document for:</w:t>
      </w:r>
      <w:r w:rsidRPr="003836D7">
        <w:rPr>
          <w:rFonts w:eastAsia="Times New Roman"/>
          <w:b/>
          <w:sz w:val="24"/>
          <w:lang w:eastAsia="ja-JP"/>
        </w:rPr>
        <w:tab/>
      </w:r>
      <w:bookmarkStart w:id="2" w:name="DocumentFor"/>
      <w:bookmarkEnd w:id="2"/>
      <w:r w:rsidRPr="003836D7">
        <w:rPr>
          <w:rFonts w:eastAsia="Times New Roman"/>
          <w:b/>
          <w:sz w:val="24"/>
          <w:lang w:eastAsia="ja-JP"/>
        </w:rPr>
        <w:t xml:space="preserve">Discussion and </w:t>
      </w:r>
      <w:r w:rsidR="00FC398E">
        <w:rPr>
          <w:rFonts w:eastAsia="Times New Roman"/>
          <w:b/>
          <w:sz w:val="24"/>
          <w:lang w:eastAsia="ja-JP"/>
        </w:rPr>
        <w:t>D</w:t>
      </w:r>
      <w:r w:rsidRPr="003836D7">
        <w:rPr>
          <w:rFonts w:eastAsia="Times New Roman"/>
          <w:b/>
          <w:sz w:val="24"/>
          <w:lang w:eastAsia="ja-JP"/>
        </w:rPr>
        <w:t>ecision</w:t>
      </w:r>
    </w:p>
    <w:p w14:paraId="6A7E1D31" w14:textId="77777777" w:rsidR="00625B19" w:rsidRDefault="00625B19" w:rsidP="00625B19"/>
    <w:p w14:paraId="0332CE80" w14:textId="77777777" w:rsidR="00625B19" w:rsidRPr="003836D7"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b w:val="0"/>
          <w:sz w:val="36"/>
          <w:lang w:eastAsia="ja-JP"/>
        </w:rPr>
        <w:t>Introduction</w:t>
      </w:r>
    </w:p>
    <w:p w14:paraId="77261D89" w14:textId="507F2DC9" w:rsidR="00CA0244" w:rsidRDefault="00CA0244" w:rsidP="00CA0244">
      <w:pPr>
        <w:jc w:val="both"/>
        <w:rPr>
          <w:bCs/>
        </w:rPr>
      </w:pPr>
      <w:r>
        <w:rPr>
          <w:bCs/>
        </w:rPr>
        <w:t xml:space="preserve">In </w:t>
      </w:r>
      <w:r w:rsidR="007B3ED2">
        <w:rPr>
          <w:bCs/>
        </w:rPr>
        <w:t xml:space="preserve">the </w:t>
      </w:r>
      <w:r>
        <w:rPr>
          <w:bCs/>
        </w:rPr>
        <w:t xml:space="preserve">further enhanced MTC (feMTC) work item (WI) description </w:t>
      </w:r>
      <w:r>
        <w:rPr>
          <w:bCs/>
        </w:rPr>
        <w:fldChar w:fldCharType="begin"/>
      </w:r>
      <w:r>
        <w:rPr>
          <w:bCs/>
        </w:rPr>
        <w:instrText xml:space="preserve"> REF _Ref462831726 \r \h </w:instrText>
      </w:r>
      <w:r>
        <w:rPr>
          <w:bCs/>
        </w:rPr>
      </w:r>
      <w:r>
        <w:rPr>
          <w:bCs/>
        </w:rPr>
        <w:fldChar w:fldCharType="separate"/>
      </w:r>
      <w:r>
        <w:rPr>
          <w:bCs/>
        </w:rPr>
        <w:t>[1]</w:t>
      </w:r>
      <w:r>
        <w:rPr>
          <w:bCs/>
        </w:rPr>
        <w:fldChar w:fldCharType="end"/>
      </w:r>
      <w:r>
        <w:rPr>
          <w:bCs/>
        </w:rPr>
        <w:t xml:space="preserve">, one of the objectives is </w:t>
      </w:r>
      <w:r w:rsidR="007B3ED2">
        <w:rPr>
          <w:bCs/>
        </w:rPr>
        <w:t xml:space="preserve">positioning </w:t>
      </w:r>
      <w:r w:rsidRPr="007935B0">
        <w:rPr>
          <w:bCs/>
        </w:rPr>
        <w:t xml:space="preserve">improvement </w:t>
      </w:r>
      <w:r>
        <w:rPr>
          <w:bCs/>
        </w:rPr>
        <w:t xml:space="preserve">for BL/CE (eMTC) UEs based on </w:t>
      </w:r>
      <w:r w:rsidRPr="00914FC0">
        <w:rPr>
          <w:bCs/>
        </w:rPr>
        <w:t xml:space="preserve">Observed Time Difference </w:t>
      </w:r>
      <w:r w:rsidR="00B560F1">
        <w:rPr>
          <w:bCs/>
        </w:rPr>
        <w:t>o</w:t>
      </w:r>
      <w:r w:rsidRPr="00914FC0">
        <w:rPr>
          <w:bCs/>
        </w:rPr>
        <w:t>f Arrival</w:t>
      </w:r>
      <w:r>
        <w:rPr>
          <w:bCs/>
        </w:rPr>
        <w:t xml:space="preserve"> (OTD</w:t>
      </w:r>
      <w:r w:rsidR="003B4494">
        <w:rPr>
          <w:bCs/>
        </w:rPr>
        <w:t>O</w:t>
      </w:r>
      <w:r>
        <w:rPr>
          <w:bCs/>
        </w:rPr>
        <w:t xml:space="preserve">A) techniques. </w:t>
      </w:r>
      <w:r w:rsidR="007B3ED2">
        <w:rPr>
          <w:bCs/>
        </w:rPr>
        <w:t>I</w:t>
      </w:r>
      <w:r>
        <w:rPr>
          <w:bCs/>
        </w:rPr>
        <w:t>mprovements of</w:t>
      </w:r>
      <w:r w:rsidRPr="00F738FB">
        <w:rPr>
          <w:lang w:val="en-US" w:eastAsia="zh-CN"/>
        </w:rPr>
        <w:t xml:space="preserve"> </w:t>
      </w:r>
      <w:r>
        <w:rPr>
          <w:lang w:val="en-US" w:eastAsia="zh-CN"/>
        </w:rPr>
        <w:t xml:space="preserve">positioning </w:t>
      </w:r>
      <w:r w:rsidRPr="00F738FB">
        <w:rPr>
          <w:bCs/>
        </w:rPr>
        <w:t>accuracy, UE complexity and power consumption</w:t>
      </w:r>
      <w:r w:rsidR="007B3ED2">
        <w:rPr>
          <w:bCs/>
        </w:rPr>
        <w:t xml:space="preserve"> should be considered</w:t>
      </w:r>
      <w:r>
        <w:rPr>
          <w:bCs/>
        </w:rPr>
        <w:t>.</w:t>
      </w:r>
    </w:p>
    <w:p w14:paraId="3FFA07B0" w14:textId="77777777" w:rsidR="003B4494" w:rsidRDefault="003B4494" w:rsidP="00CA0244">
      <w:pPr>
        <w:jc w:val="both"/>
        <w:rPr>
          <w:bCs/>
        </w:rPr>
      </w:pPr>
    </w:p>
    <w:p w14:paraId="72AEB79C" w14:textId="3D555A1E" w:rsidR="003B4494" w:rsidRDefault="003B4494" w:rsidP="00CA0244">
      <w:pPr>
        <w:jc w:val="both"/>
        <w:rPr>
          <w:bCs/>
        </w:rPr>
      </w:pPr>
      <w:r>
        <w:rPr>
          <w:bCs/>
        </w:rPr>
        <w:t xml:space="preserve">In the previous RAN1 #86bis meeting </w:t>
      </w:r>
      <w:r>
        <w:rPr>
          <w:bCs/>
        </w:rPr>
        <w:fldChar w:fldCharType="begin"/>
      </w:r>
      <w:r>
        <w:rPr>
          <w:bCs/>
        </w:rPr>
        <w:instrText xml:space="preserve"> REF _Ref465995423 \r \h </w:instrText>
      </w:r>
      <w:r>
        <w:rPr>
          <w:bCs/>
        </w:rPr>
      </w:r>
      <w:r>
        <w:rPr>
          <w:bCs/>
        </w:rPr>
        <w:fldChar w:fldCharType="separate"/>
      </w:r>
      <w:r>
        <w:rPr>
          <w:bCs/>
        </w:rPr>
        <w:t>[2]</w:t>
      </w:r>
      <w:r>
        <w:rPr>
          <w:bCs/>
        </w:rPr>
        <w:fldChar w:fldCharType="end"/>
      </w:r>
      <w:r>
        <w:rPr>
          <w:bCs/>
        </w:rPr>
        <w:t>, the following agreements were made:</w:t>
      </w:r>
    </w:p>
    <w:p w14:paraId="149E5209" w14:textId="77777777" w:rsidR="003B4494" w:rsidRDefault="003B4494" w:rsidP="003B4494">
      <w:pPr>
        <w:numPr>
          <w:ilvl w:val="0"/>
          <w:numId w:val="13"/>
        </w:numPr>
        <w:rPr>
          <w:rFonts w:eastAsia="MS Mincho"/>
          <w:lang w:val="en-US" w:eastAsia="ja-JP"/>
        </w:rPr>
      </w:pPr>
      <w:r w:rsidRPr="004E1AD9">
        <w:rPr>
          <w:rFonts w:eastAsia="MS Mincho"/>
          <w:lang w:val="en-US" w:eastAsia="ja-JP"/>
        </w:rPr>
        <w:t>For Rel-14 feMTC OTDOA  positioning reference signal, enhancements to the legacy LTE PRS patterns and sequences can be considered but need to be justified by significant performance improvement</w:t>
      </w:r>
      <w:r>
        <w:rPr>
          <w:rFonts w:eastAsia="MS Mincho"/>
          <w:lang w:val="en-US" w:eastAsia="ja-JP"/>
        </w:rPr>
        <w:t xml:space="preserve"> compared to legacy</w:t>
      </w:r>
    </w:p>
    <w:p w14:paraId="18BDDDA4" w14:textId="77777777" w:rsidR="003B4494" w:rsidRPr="004E1AD9" w:rsidRDefault="003B4494" w:rsidP="003B4494">
      <w:pPr>
        <w:numPr>
          <w:ilvl w:val="1"/>
          <w:numId w:val="13"/>
        </w:numPr>
        <w:rPr>
          <w:rFonts w:eastAsia="MS Mincho"/>
          <w:lang w:val="en-US" w:eastAsia="ja-JP"/>
        </w:rPr>
      </w:pPr>
      <w:r>
        <w:rPr>
          <w:rFonts w:eastAsia="MS Mincho"/>
          <w:lang w:val="en-US" w:eastAsia="ja-JP"/>
        </w:rPr>
        <w:t>Strive for the possibility for the legacy PRS REs to overlap with the Rel-14 PRS REs</w:t>
      </w:r>
    </w:p>
    <w:p w14:paraId="46ECA329" w14:textId="77777777" w:rsidR="003B4494" w:rsidRPr="00FB6677" w:rsidRDefault="003B4494" w:rsidP="003B4494">
      <w:pPr>
        <w:numPr>
          <w:ilvl w:val="0"/>
          <w:numId w:val="13"/>
        </w:numPr>
        <w:rPr>
          <w:rFonts w:eastAsia="MS Mincho"/>
          <w:lang w:val="en-US" w:eastAsia="ja-JP"/>
        </w:rPr>
      </w:pPr>
      <w:r w:rsidRPr="00FB6677">
        <w:rPr>
          <w:rFonts w:eastAsia="MS Mincho"/>
          <w:lang w:val="en-US" w:eastAsia="ja-JP"/>
        </w:rPr>
        <w:t>Rel-14 PRS configuration includes</w:t>
      </w:r>
    </w:p>
    <w:p w14:paraId="7F3C39C7" w14:textId="77777777" w:rsidR="003B4494" w:rsidRDefault="003B4494" w:rsidP="003B4494">
      <w:pPr>
        <w:numPr>
          <w:ilvl w:val="1"/>
          <w:numId w:val="13"/>
        </w:numPr>
        <w:rPr>
          <w:rFonts w:eastAsia="MS Mincho"/>
          <w:lang w:val="en-US" w:eastAsia="ja-JP"/>
        </w:rPr>
      </w:pPr>
      <w:r>
        <w:rPr>
          <w:rFonts w:eastAsia="MS Mincho"/>
          <w:lang w:val="en-US" w:eastAsia="ja-JP"/>
        </w:rPr>
        <w:t>All legacy parameters</w:t>
      </w:r>
      <w:r w:rsidRPr="00FB6677">
        <w:rPr>
          <w:rFonts w:eastAsia="MS Mincho"/>
          <w:lang w:val="en-US" w:eastAsia="ja-JP"/>
        </w:rPr>
        <w:t>, i.e., bandwidth, periodicity, subframe offset, number of consecutive subframes, etc.</w:t>
      </w:r>
    </w:p>
    <w:p w14:paraId="448177FC" w14:textId="77777777" w:rsidR="003B4494" w:rsidRDefault="003B4494" w:rsidP="003B4494">
      <w:pPr>
        <w:numPr>
          <w:ilvl w:val="1"/>
          <w:numId w:val="13"/>
        </w:numPr>
        <w:rPr>
          <w:rFonts w:eastAsia="MS Mincho"/>
          <w:lang w:val="en-US" w:eastAsia="ja-JP"/>
        </w:rPr>
      </w:pPr>
      <w:r>
        <w:rPr>
          <w:rFonts w:eastAsia="MS Mincho"/>
          <w:lang w:val="en-US" w:eastAsia="ja-JP"/>
        </w:rPr>
        <w:t>FFS transmission in invalid subframes</w:t>
      </w:r>
    </w:p>
    <w:p w14:paraId="35E4DF94" w14:textId="77777777" w:rsidR="003B4494" w:rsidRPr="00FB6677" w:rsidRDefault="003B4494" w:rsidP="003B4494">
      <w:pPr>
        <w:numPr>
          <w:ilvl w:val="1"/>
          <w:numId w:val="13"/>
        </w:numPr>
        <w:rPr>
          <w:rFonts w:eastAsia="MS Mincho"/>
          <w:lang w:val="en-US" w:eastAsia="ja-JP"/>
        </w:rPr>
      </w:pPr>
      <w:r>
        <w:rPr>
          <w:rFonts w:eastAsia="MS Mincho"/>
          <w:lang w:val="en-US" w:eastAsia="ja-JP"/>
        </w:rPr>
        <w:t>Sets of values of the parameters are FFS</w:t>
      </w:r>
    </w:p>
    <w:p w14:paraId="28621339" w14:textId="77777777" w:rsidR="003B4494" w:rsidRPr="00FB6677" w:rsidRDefault="003B4494" w:rsidP="003B4494">
      <w:pPr>
        <w:numPr>
          <w:ilvl w:val="1"/>
          <w:numId w:val="13"/>
        </w:numPr>
        <w:rPr>
          <w:rFonts w:eastAsia="MS Mincho"/>
          <w:lang w:val="en-US" w:eastAsia="ja-JP"/>
        </w:rPr>
      </w:pPr>
      <w:r w:rsidRPr="00FB6677">
        <w:rPr>
          <w:rFonts w:eastAsia="MS Mincho"/>
          <w:lang w:val="en-US" w:eastAsia="ja-JP"/>
        </w:rPr>
        <w:t>Determination of frequency location remains FFS</w:t>
      </w:r>
    </w:p>
    <w:p w14:paraId="55883F1B" w14:textId="77777777" w:rsidR="003B4494" w:rsidRDefault="003B4494" w:rsidP="003B4494">
      <w:pPr>
        <w:numPr>
          <w:ilvl w:val="1"/>
          <w:numId w:val="13"/>
        </w:numPr>
        <w:rPr>
          <w:rFonts w:eastAsia="MS Mincho"/>
          <w:lang w:val="en-US" w:eastAsia="ja-JP"/>
        </w:rPr>
      </w:pPr>
      <w:r w:rsidRPr="00FB6677">
        <w:rPr>
          <w:rFonts w:eastAsia="MS Mincho"/>
          <w:lang w:val="en-US" w:eastAsia="ja-JP"/>
        </w:rPr>
        <w:t>Details of Rel-14 PRS configuration parameter settings are FFS</w:t>
      </w:r>
    </w:p>
    <w:p w14:paraId="66E9E0FF" w14:textId="77777777" w:rsidR="003B4494" w:rsidRDefault="003B4494" w:rsidP="003B4494">
      <w:pPr>
        <w:numPr>
          <w:ilvl w:val="1"/>
          <w:numId w:val="13"/>
        </w:numPr>
        <w:rPr>
          <w:rFonts w:eastAsia="MS Mincho"/>
          <w:lang w:val="en-US" w:eastAsia="ja-JP"/>
        </w:rPr>
      </w:pPr>
      <w:r>
        <w:rPr>
          <w:rFonts w:eastAsia="MS Mincho"/>
          <w:lang w:val="en-US" w:eastAsia="ja-JP"/>
        </w:rPr>
        <w:t>Details of Rel-14 PRS muting pattern are FFS</w:t>
      </w:r>
    </w:p>
    <w:p w14:paraId="35698FF2" w14:textId="77777777" w:rsidR="003B4494" w:rsidRDefault="003B4494" w:rsidP="003B4494">
      <w:pPr>
        <w:numPr>
          <w:ilvl w:val="1"/>
          <w:numId w:val="13"/>
        </w:numPr>
        <w:rPr>
          <w:rFonts w:eastAsia="MS Mincho"/>
          <w:lang w:val="en-US" w:eastAsia="ja-JP"/>
        </w:rPr>
      </w:pPr>
      <w:r>
        <w:rPr>
          <w:rFonts w:eastAsia="MS Mincho"/>
          <w:lang w:val="en-US" w:eastAsia="ja-JP"/>
        </w:rPr>
        <w:t>FFS how many Rel-14 PRS configurations are needed per cell</w:t>
      </w:r>
    </w:p>
    <w:p w14:paraId="2DC413AD" w14:textId="77777777" w:rsidR="003B4494" w:rsidRPr="00C163E2" w:rsidRDefault="003B4494" w:rsidP="003B4494">
      <w:pPr>
        <w:numPr>
          <w:ilvl w:val="1"/>
          <w:numId w:val="13"/>
        </w:numPr>
        <w:rPr>
          <w:rFonts w:eastAsia="MS Mincho"/>
          <w:lang w:val="en-US" w:eastAsia="ja-JP"/>
        </w:rPr>
      </w:pPr>
      <w:r>
        <w:rPr>
          <w:rFonts w:eastAsia="MS Mincho"/>
          <w:lang w:val="en-US" w:eastAsia="ja-JP"/>
        </w:rPr>
        <w:t>FFS how many Rel-14 PRS configurations are needed per UE</w:t>
      </w:r>
    </w:p>
    <w:p w14:paraId="5633A8BE" w14:textId="77777777" w:rsidR="003B4494" w:rsidRPr="00FB6677" w:rsidRDefault="003B4494" w:rsidP="003B4494">
      <w:pPr>
        <w:numPr>
          <w:ilvl w:val="0"/>
          <w:numId w:val="13"/>
        </w:numPr>
        <w:rPr>
          <w:rFonts w:eastAsia="MS Mincho"/>
          <w:lang w:val="en-US" w:eastAsia="ja-JP"/>
        </w:rPr>
      </w:pPr>
      <w:r w:rsidRPr="00FB6677">
        <w:rPr>
          <w:rFonts w:eastAsia="MS Mincho"/>
          <w:lang w:val="en-US" w:eastAsia="ja-JP"/>
        </w:rPr>
        <w:t xml:space="preserve">RSTD measurement of PRS in different </w:t>
      </w:r>
      <w:r>
        <w:rPr>
          <w:rFonts w:eastAsia="MS Mincho"/>
          <w:lang w:val="en-US" w:eastAsia="ja-JP"/>
        </w:rPr>
        <w:t>sets of PRBs in the frequency domain</w:t>
      </w:r>
      <w:r w:rsidRPr="00FB6677">
        <w:rPr>
          <w:rFonts w:eastAsia="MS Mincho"/>
          <w:lang w:val="en-US" w:eastAsia="ja-JP"/>
        </w:rPr>
        <w:t xml:space="preserve"> is supported</w:t>
      </w:r>
    </w:p>
    <w:p w14:paraId="16DD5326" w14:textId="77777777" w:rsidR="003B4494" w:rsidRPr="00FB6677" w:rsidRDefault="003B4494" w:rsidP="003B4494">
      <w:pPr>
        <w:numPr>
          <w:ilvl w:val="1"/>
          <w:numId w:val="13"/>
        </w:numPr>
        <w:rPr>
          <w:rFonts w:eastAsia="MS Mincho"/>
          <w:lang w:val="en-US" w:eastAsia="ja-JP"/>
        </w:rPr>
      </w:pPr>
      <w:r w:rsidRPr="00FB6677">
        <w:rPr>
          <w:rFonts w:eastAsia="MS Mincho"/>
          <w:lang w:val="en-US" w:eastAsia="ja-JP"/>
        </w:rPr>
        <w:t>FFS details</w:t>
      </w:r>
    </w:p>
    <w:p w14:paraId="23EF6509" w14:textId="77777777" w:rsidR="003B4494" w:rsidRPr="00990475" w:rsidRDefault="003B4494" w:rsidP="003B4494">
      <w:pPr>
        <w:numPr>
          <w:ilvl w:val="0"/>
          <w:numId w:val="13"/>
        </w:numPr>
        <w:rPr>
          <w:rFonts w:eastAsia="MS Mincho"/>
          <w:lang w:val="en-US" w:eastAsia="ja-JP"/>
        </w:rPr>
      </w:pPr>
      <w:r>
        <w:rPr>
          <w:rFonts w:eastAsia="MS Mincho"/>
          <w:lang w:val="en-US" w:eastAsia="ja-JP"/>
        </w:rPr>
        <w:t>F</w:t>
      </w:r>
      <w:r w:rsidRPr="00990475">
        <w:rPr>
          <w:rFonts w:eastAsia="MS Mincho"/>
          <w:lang w:val="en-US" w:eastAsia="ja-JP"/>
        </w:rPr>
        <w:t>requency hopping of PRS in OTDOA is supported.</w:t>
      </w:r>
    </w:p>
    <w:p w14:paraId="33C6C1E0" w14:textId="5ADE1AC8" w:rsidR="003B4494" w:rsidRPr="003B4494" w:rsidRDefault="003B4494" w:rsidP="003B4494">
      <w:pPr>
        <w:numPr>
          <w:ilvl w:val="1"/>
          <w:numId w:val="13"/>
        </w:numPr>
        <w:rPr>
          <w:rFonts w:eastAsia="MS Mincho"/>
          <w:lang w:val="sv-SE" w:eastAsia="ja-JP"/>
        </w:rPr>
      </w:pPr>
      <w:r w:rsidRPr="00990475">
        <w:rPr>
          <w:rFonts w:eastAsia="MS Mincho"/>
          <w:lang w:val="en-US" w:eastAsia="ja-JP"/>
        </w:rPr>
        <w:t>Configurations and details are FFS</w:t>
      </w:r>
    </w:p>
    <w:p w14:paraId="0C4813AC" w14:textId="77777777" w:rsidR="00914FC0" w:rsidRDefault="00914FC0" w:rsidP="00380117">
      <w:pPr>
        <w:jc w:val="both"/>
        <w:rPr>
          <w:bCs/>
          <w:lang w:val="en-US"/>
        </w:rPr>
      </w:pPr>
    </w:p>
    <w:p w14:paraId="44276D8C" w14:textId="431857D2" w:rsidR="00CA0244" w:rsidRDefault="00CA0244" w:rsidP="00380117">
      <w:pPr>
        <w:jc w:val="both"/>
        <w:rPr>
          <w:bCs/>
          <w:lang w:val="en-US"/>
        </w:rPr>
      </w:pPr>
      <w:r>
        <w:rPr>
          <w:bCs/>
          <w:lang w:val="en-US"/>
        </w:rPr>
        <w:t>This contribution provides our view on OTD</w:t>
      </w:r>
      <w:r w:rsidR="003B4494">
        <w:rPr>
          <w:bCs/>
          <w:lang w:val="en-US"/>
        </w:rPr>
        <w:t>O</w:t>
      </w:r>
      <w:r>
        <w:rPr>
          <w:bCs/>
          <w:lang w:val="en-US"/>
        </w:rPr>
        <w:t xml:space="preserve">A based positioning for feMTC UE </w:t>
      </w:r>
      <w:r w:rsidR="00322860">
        <w:rPr>
          <w:bCs/>
          <w:lang w:val="en-US"/>
        </w:rPr>
        <w:t>by combining the usage of legacy LTE PRS and the newly proposed PRS for feMTC</w:t>
      </w:r>
      <w:r>
        <w:rPr>
          <w:bCs/>
          <w:lang w:val="en-US"/>
        </w:rPr>
        <w:t>.</w:t>
      </w:r>
    </w:p>
    <w:p w14:paraId="37A27950" w14:textId="77777777" w:rsidR="00CA0244" w:rsidRPr="00CA0244" w:rsidRDefault="00CA0244" w:rsidP="00380117">
      <w:pPr>
        <w:jc w:val="both"/>
        <w:rPr>
          <w:bCs/>
          <w:lang w:val="en-US"/>
        </w:rPr>
      </w:pPr>
    </w:p>
    <w:p w14:paraId="6F14C9A7" w14:textId="77777777" w:rsidR="00625B19"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Discussion</w:t>
      </w:r>
    </w:p>
    <w:p w14:paraId="581986D7" w14:textId="77777777" w:rsidR="008969D6" w:rsidRDefault="008969D6" w:rsidP="008969D6">
      <w:pPr>
        <w:rPr>
          <w:lang w:eastAsia="ja-JP"/>
        </w:rPr>
      </w:pPr>
    </w:p>
    <w:p w14:paraId="0B88F279" w14:textId="77777777" w:rsidR="00D55237" w:rsidRDefault="00D55237" w:rsidP="00D55237">
      <w:pPr>
        <w:jc w:val="both"/>
        <w:rPr>
          <w:lang w:val="en-US"/>
        </w:rPr>
      </w:pPr>
      <w:r w:rsidRPr="00B30EB9">
        <w:rPr>
          <w:lang w:val="en-US"/>
        </w:rPr>
        <w:t xml:space="preserve">OTDOA is </w:t>
      </w:r>
      <w:r>
        <w:rPr>
          <w:lang w:val="en-US"/>
        </w:rPr>
        <w:t xml:space="preserve">one of </w:t>
      </w:r>
      <w:r w:rsidR="007B3ED2">
        <w:rPr>
          <w:lang w:val="en-US"/>
        </w:rPr>
        <w:t xml:space="preserve">the </w:t>
      </w:r>
      <w:r>
        <w:rPr>
          <w:lang w:val="en-US"/>
        </w:rPr>
        <w:t>Radio Access Technology</w:t>
      </w:r>
      <w:r w:rsidRPr="00B30EB9">
        <w:rPr>
          <w:lang w:val="en-US"/>
        </w:rPr>
        <w:t xml:space="preserve"> (RAT) dependent positioning</w:t>
      </w:r>
      <w:r>
        <w:rPr>
          <w:lang w:val="en-US"/>
        </w:rPr>
        <w:t xml:space="preserve"> techniques which has been widely deployed in LTE network</w:t>
      </w:r>
      <w:r w:rsidR="007B3ED2">
        <w:rPr>
          <w:lang w:val="en-US"/>
        </w:rPr>
        <w:t>s</w:t>
      </w:r>
      <w:r>
        <w:rPr>
          <w:lang w:val="en-US"/>
        </w:rPr>
        <w:t>. In principle, the device/user equipment (UE) receives reference signals from multiple eNode-B</w:t>
      </w:r>
      <w:r w:rsidR="007B3ED2">
        <w:rPr>
          <w:lang w:val="en-US"/>
        </w:rPr>
        <w:t>s</w:t>
      </w:r>
      <w:r>
        <w:rPr>
          <w:lang w:val="en-US"/>
        </w:rPr>
        <w:t xml:space="preserve"> and then perform</w:t>
      </w:r>
      <w:r w:rsidR="007B3ED2">
        <w:rPr>
          <w:lang w:val="en-US"/>
        </w:rPr>
        <w:t>s</w:t>
      </w:r>
      <w:r>
        <w:rPr>
          <w:lang w:val="en-US"/>
        </w:rPr>
        <w:t xml:space="preserve"> timing difference of arrival (TDOA) measurement</w:t>
      </w:r>
      <w:r w:rsidR="007B3ED2">
        <w:rPr>
          <w:lang w:val="en-US"/>
        </w:rPr>
        <w:t>s</w:t>
      </w:r>
      <w:r>
        <w:rPr>
          <w:lang w:val="en-US"/>
        </w:rPr>
        <w:t xml:space="preserve">. The measurement results are transmitted using </w:t>
      </w:r>
      <w:r w:rsidR="007B3ED2">
        <w:rPr>
          <w:lang w:val="en-US"/>
        </w:rPr>
        <w:t xml:space="preserve">the </w:t>
      </w:r>
      <w:r>
        <w:rPr>
          <w:lang w:val="en-US"/>
        </w:rPr>
        <w:t xml:space="preserve">LTE positioning protocol (LPP) from a UE to the location server (LS) via </w:t>
      </w:r>
      <w:r w:rsidR="007B3ED2">
        <w:rPr>
          <w:lang w:val="en-US"/>
        </w:rPr>
        <w:t xml:space="preserve">the </w:t>
      </w:r>
      <w:r>
        <w:rPr>
          <w:lang w:val="en-US"/>
        </w:rPr>
        <w:t xml:space="preserve">eNode-B. </w:t>
      </w:r>
      <w:r w:rsidR="007B3ED2">
        <w:rPr>
          <w:lang w:val="en-US"/>
        </w:rPr>
        <w:t>The l</w:t>
      </w:r>
      <w:r>
        <w:rPr>
          <w:lang w:val="en-US"/>
        </w:rPr>
        <w:t>ocation server perform</w:t>
      </w:r>
      <w:r w:rsidR="007B3ED2">
        <w:rPr>
          <w:lang w:val="en-US"/>
        </w:rPr>
        <w:t>s</w:t>
      </w:r>
      <w:r>
        <w:rPr>
          <w:lang w:val="en-US"/>
        </w:rPr>
        <w:t xml:space="preserve"> positioning estimation.</w:t>
      </w:r>
    </w:p>
    <w:p w14:paraId="17EDF0CD" w14:textId="77777777" w:rsidR="00322860" w:rsidRDefault="00322860" w:rsidP="00D55237">
      <w:pPr>
        <w:jc w:val="both"/>
        <w:rPr>
          <w:lang w:val="en-US"/>
        </w:rPr>
      </w:pPr>
    </w:p>
    <w:p w14:paraId="247B6867" w14:textId="483198D6" w:rsidR="002E280F" w:rsidRDefault="00322860" w:rsidP="00E52F1A">
      <w:pPr>
        <w:jc w:val="both"/>
        <w:rPr>
          <w:lang w:val="en-US"/>
        </w:rPr>
      </w:pPr>
      <w:r>
        <w:rPr>
          <w:lang w:val="en-US"/>
        </w:rPr>
        <w:t>LTE eNB periodically transmit</w:t>
      </w:r>
      <w:r w:rsidR="00A52E02">
        <w:rPr>
          <w:lang w:val="en-US"/>
        </w:rPr>
        <w:t>s</w:t>
      </w:r>
      <w:r>
        <w:rPr>
          <w:lang w:val="en-US"/>
        </w:rPr>
        <w:t xml:space="preserve"> legacy PRS signal with certain PRS configurations (e.g. </w:t>
      </w:r>
      <w:r w:rsidR="001A4540">
        <w:rPr>
          <w:lang w:val="en-US"/>
        </w:rPr>
        <w:t xml:space="preserve">number of consecutive DL PRS subframes </w:t>
      </w:r>
      <w:r w:rsidR="00AB4750">
        <w:rPr>
          <w:lang w:val="en-US"/>
        </w:rPr>
        <w:t>(</w:t>
      </w:r>
      <w:r w:rsidR="001A4540">
        <w:rPr>
          <w:lang w:val="en-US"/>
        </w:rPr>
        <w:t>N_PRS</w:t>
      </w:r>
      <w:r w:rsidR="00AB4750">
        <w:rPr>
          <w:lang w:val="en-US"/>
        </w:rPr>
        <w:t>)</w:t>
      </w:r>
      <w:r w:rsidR="001A4540">
        <w:rPr>
          <w:lang w:val="en-US"/>
        </w:rPr>
        <w:t xml:space="preserve">, and PRS periodicity </w:t>
      </w:r>
      <w:r w:rsidR="00AB4750">
        <w:rPr>
          <w:lang w:val="en-US"/>
        </w:rPr>
        <w:t>(</w:t>
      </w:r>
      <w:r w:rsidR="001A4540">
        <w:rPr>
          <w:lang w:val="en-US"/>
        </w:rPr>
        <w:t>T_PRS</w:t>
      </w:r>
      <w:r w:rsidR="00AB4750">
        <w:rPr>
          <w:lang w:val="en-US"/>
        </w:rPr>
        <w:t>)</w:t>
      </w:r>
      <w:r w:rsidR="001A4540">
        <w:rPr>
          <w:lang w:val="en-US"/>
        </w:rPr>
        <w:t>). Both parameters are reconfigurable</w:t>
      </w:r>
      <w:r w:rsidR="00AB4750">
        <w:rPr>
          <w:lang w:val="en-US"/>
        </w:rPr>
        <w:t xml:space="preserve"> such that</w:t>
      </w:r>
      <w:r w:rsidR="001A4540">
        <w:rPr>
          <w:lang w:val="en-US"/>
        </w:rPr>
        <w:t xml:space="preserve"> N_PRS can be up to 6 ms and T_PRS can be from from 160 ms to </w:t>
      </w:r>
      <w:r w:rsidR="001A4540" w:rsidRPr="00D55237">
        <w:rPr>
          <w:lang w:val="en-US"/>
        </w:rPr>
        <w:t>1280 ms</w:t>
      </w:r>
      <w:r w:rsidR="001A4540">
        <w:rPr>
          <w:lang w:val="en-US"/>
        </w:rPr>
        <w:t xml:space="preserve">. </w:t>
      </w:r>
    </w:p>
    <w:p w14:paraId="7F6CE7D1" w14:textId="77777777" w:rsidR="002E280F" w:rsidRDefault="002E280F" w:rsidP="00E52F1A">
      <w:pPr>
        <w:jc w:val="both"/>
        <w:rPr>
          <w:lang w:val="en-US"/>
        </w:rPr>
      </w:pPr>
    </w:p>
    <w:p w14:paraId="0D3B4F98" w14:textId="2D610E43" w:rsidR="00AF5E6D" w:rsidRDefault="001A4540" w:rsidP="00E52F1A">
      <w:pPr>
        <w:jc w:val="both"/>
      </w:pPr>
      <w:r>
        <w:rPr>
          <w:lang w:val="en-US"/>
        </w:rPr>
        <w:t>Here, w</w:t>
      </w:r>
      <w:r w:rsidR="00E52F1A">
        <w:rPr>
          <w:lang w:val="en-US"/>
        </w:rPr>
        <w:t xml:space="preserve">e can consider </w:t>
      </w:r>
      <w:r w:rsidR="00E52F1A">
        <w:rPr>
          <w:rFonts w:cs="Calibri"/>
        </w:rPr>
        <w:t>to</w:t>
      </w:r>
      <w:r w:rsidR="00E52F1A" w:rsidRPr="00E52F1A">
        <w:rPr>
          <w:rFonts w:cs="Calibri"/>
        </w:rPr>
        <w:t xml:space="preserve"> have another set of PRS, i.e. E-PRS,</w:t>
      </w:r>
      <w:r w:rsidR="003B4494">
        <w:rPr>
          <w:rFonts w:cs="Calibri"/>
        </w:rPr>
        <w:t xml:space="preserve"> in addition to the existing legacy PRS</w:t>
      </w:r>
      <w:r w:rsidR="00E52F1A" w:rsidRPr="00E52F1A">
        <w:rPr>
          <w:rFonts w:cs="Calibri"/>
        </w:rPr>
        <w:t>.</w:t>
      </w:r>
      <w:r w:rsidR="00E52F1A" w:rsidRPr="00E52F1A">
        <w:t xml:space="preserve"> </w:t>
      </w:r>
      <w:r w:rsidR="00AF5E6D">
        <w:t xml:space="preserve">The E-PRS is a new set of PRS that is designed for feMTC so that the PRS bandwidth is limited to the feMTC supported BW (e.g. 1.4 MHz, 5 MHz). </w:t>
      </w:r>
    </w:p>
    <w:p w14:paraId="5C1B9407" w14:textId="77777777" w:rsidR="00AF5E6D" w:rsidRDefault="00AF5E6D" w:rsidP="00E52F1A">
      <w:pPr>
        <w:jc w:val="both"/>
      </w:pPr>
    </w:p>
    <w:p w14:paraId="7E2FEBF5" w14:textId="37694227" w:rsidR="00E52F1A" w:rsidRPr="001A4540" w:rsidRDefault="00E52F1A" w:rsidP="00E52F1A">
      <w:pPr>
        <w:jc w:val="both"/>
        <w:rPr>
          <w:lang w:val="en-US"/>
        </w:rPr>
      </w:pPr>
      <w:r>
        <w:t xml:space="preserve">Basically, </w:t>
      </w:r>
      <w:r w:rsidRPr="00E52F1A">
        <w:rPr>
          <w:rFonts w:cs="Calibri"/>
        </w:rPr>
        <w:t>E-PRS serves two purposes</w:t>
      </w:r>
      <w:r>
        <w:rPr>
          <w:rFonts w:cs="Calibri"/>
        </w:rPr>
        <w:t>:</w:t>
      </w:r>
    </w:p>
    <w:p w14:paraId="0F7C0979" w14:textId="77777777" w:rsidR="00E52F1A" w:rsidRDefault="00E52F1A" w:rsidP="00E52F1A">
      <w:pPr>
        <w:numPr>
          <w:ilvl w:val="0"/>
          <w:numId w:val="11"/>
        </w:numPr>
        <w:jc w:val="both"/>
        <w:rPr>
          <w:rFonts w:cs="Calibri"/>
        </w:rPr>
      </w:pPr>
      <w:r w:rsidRPr="00E52F1A">
        <w:rPr>
          <w:rFonts w:cs="Calibri"/>
        </w:rPr>
        <w:lastRenderedPageBreak/>
        <w:t>Provides PRS coverage for MTC devices operating in coverage enhanced mode (e.g. Mode B operation in fe-MTC)</w:t>
      </w:r>
    </w:p>
    <w:p w14:paraId="248416FD" w14:textId="77777777" w:rsidR="00316124" w:rsidRDefault="00E52F1A" w:rsidP="00E52F1A">
      <w:pPr>
        <w:numPr>
          <w:ilvl w:val="0"/>
          <w:numId w:val="11"/>
        </w:numPr>
        <w:jc w:val="both"/>
        <w:rPr>
          <w:rFonts w:cs="Calibri"/>
        </w:rPr>
      </w:pPr>
      <w:r w:rsidRPr="00E52F1A">
        <w:rPr>
          <w:rFonts w:cs="Calibri"/>
        </w:rPr>
        <w:t>Allows an MTC device to perform additional RSTD measurements from eNBs that are further away, thereby increasing the number of reference points (i.e. eNBs) and improve the positioning accuracy.</w:t>
      </w:r>
    </w:p>
    <w:p w14:paraId="1E6E0AA2" w14:textId="77777777" w:rsidR="00B954C8" w:rsidRDefault="00B954C8" w:rsidP="00B954C8">
      <w:pPr>
        <w:jc w:val="both"/>
        <w:rPr>
          <w:b/>
        </w:rPr>
      </w:pPr>
    </w:p>
    <w:p w14:paraId="17D8356C" w14:textId="1FB35803" w:rsidR="00B954C8" w:rsidRPr="00B954C8" w:rsidRDefault="00B954C8" w:rsidP="00B954C8">
      <w:pPr>
        <w:jc w:val="both"/>
        <w:rPr>
          <w:b/>
          <w:lang w:val="en-US"/>
        </w:rPr>
      </w:pPr>
      <w:r w:rsidRPr="00B954C8">
        <w:rPr>
          <w:b/>
          <w:lang w:val="en-US"/>
        </w:rPr>
        <w:t xml:space="preserve">Proposal 1: Introduce E-PRS transmission where the E-PRS can have a longer </w:t>
      </w:r>
      <w:r>
        <w:rPr>
          <w:b/>
          <w:lang w:val="en-US"/>
        </w:rPr>
        <w:t>transmission</w:t>
      </w:r>
      <w:r w:rsidRPr="00B954C8">
        <w:rPr>
          <w:b/>
          <w:lang w:val="en-US"/>
        </w:rPr>
        <w:t xml:space="preserve"> </w:t>
      </w:r>
      <w:r>
        <w:rPr>
          <w:b/>
          <w:lang w:val="en-US"/>
        </w:rPr>
        <w:t xml:space="preserve">duration </w:t>
      </w:r>
      <w:r w:rsidRPr="00B954C8">
        <w:rPr>
          <w:b/>
          <w:lang w:val="en-US"/>
        </w:rPr>
        <w:t xml:space="preserve">than </w:t>
      </w:r>
      <w:r w:rsidR="00A52E02">
        <w:rPr>
          <w:b/>
          <w:lang w:val="en-US"/>
        </w:rPr>
        <w:t xml:space="preserve">that of </w:t>
      </w:r>
      <w:r w:rsidRPr="00B954C8">
        <w:rPr>
          <w:b/>
          <w:lang w:val="en-US"/>
        </w:rPr>
        <w:t>the legacy PRS.</w:t>
      </w:r>
    </w:p>
    <w:p w14:paraId="2770962F" w14:textId="77777777" w:rsidR="001A7600" w:rsidRPr="00B954C8" w:rsidRDefault="001A7600" w:rsidP="001A7600">
      <w:pPr>
        <w:pStyle w:val="BodyText"/>
        <w:spacing w:before="0" w:after="0" w:line="240" w:lineRule="auto"/>
        <w:rPr>
          <w:rFonts w:cs="Calibri"/>
        </w:rPr>
      </w:pPr>
    </w:p>
    <w:p w14:paraId="64B90470" w14:textId="30199F16" w:rsidR="00EE5CF5" w:rsidRPr="00B954C8" w:rsidRDefault="00AF5E6D" w:rsidP="001A7600">
      <w:pPr>
        <w:jc w:val="both"/>
        <w:rPr>
          <w:lang w:val="en-US"/>
        </w:rPr>
      </w:pPr>
      <w:r>
        <w:rPr>
          <w:lang w:val="en-US"/>
        </w:rPr>
        <w:t xml:space="preserve">We consider the </w:t>
      </w:r>
      <w:r w:rsidR="00316124">
        <w:rPr>
          <w:lang w:val="en-US"/>
        </w:rPr>
        <w:t>E</w:t>
      </w:r>
      <w:r w:rsidR="00AE05A6">
        <w:rPr>
          <w:lang w:val="en-US"/>
        </w:rPr>
        <w:t xml:space="preserve">-PRS </w:t>
      </w:r>
      <w:r>
        <w:rPr>
          <w:lang w:val="en-US"/>
        </w:rPr>
        <w:t xml:space="preserve">transmission is </w:t>
      </w:r>
      <w:r w:rsidR="00B074AA">
        <w:rPr>
          <w:lang w:val="en-US"/>
        </w:rPr>
        <w:t>right after</w:t>
      </w:r>
      <w:r w:rsidR="00AE05A6">
        <w:rPr>
          <w:lang w:val="en-US"/>
        </w:rPr>
        <w:t xml:space="preserve"> the legacy PRS transmission</w:t>
      </w:r>
      <w:r w:rsidR="00B074AA">
        <w:rPr>
          <w:lang w:val="en-US"/>
        </w:rPr>
        <w:t xml:space="preserve"> (</w:t>
      </w:r>
      <w:r w:rsidR="00B074AA">
        <w:rPr>
          <w:lang w:val="en-US"/>
        </w:rPr>
        <w:fldChar w:fldCharType="begin"/>
      </w:r>
      <w:r w:rsidR="00B074AA">
        <w:rPr>
          <w:lang w:val="en-US"/>
        </w:rPr>
        <w:instrText xml:space="preserve"> REF _Ref462838978 \h </w:instrText>
      </w:r>
      <w:r w:rsidR="001A7600">
        <w:rPr>
          <w:lang w:val="en-US"/>
        </w:rPr>
        <w:instrText xml:space="preserve"> \* MERGEFORMAT </w:instrText>
      </w:r>
      <w:r w:rsidR="00B074AA">
        <w:rPr>
          <w:lang w:val="en-US"/>
        </w:rPr>
      </w:r>
      <w:r w:rsidR="00B074AA">
        <w:rPr>
          <w:lang w:val="en-US"/>
        </w:rPr>
        <w:fldChar w:fldCharType="separate"/>
      </w:r>
      <w:r w:rsidR="00B074AA">
        <w:t xml:space="preserve">Figure </w:t>
      </w:r>
      <w:r w:rsidR="00B074AA">
        <w:rPr>
          <w:noProof/>
        </w:rPr>
        <w:t>2</w:t>
      </w:r>
      <w:r w:rsidR="00B074AA">
        <w:rPr>
          <w:lang w:val="en-US"/>
        </w:rPr>
        <w:fldChar w:fldCharType="end"/>
      </w:r>
      <w:r w:rsidR="00B074AA">
        <w:rPr>
          <w:lang w:val="en-US"/>
        </w:rPr>
        <w:t>)</w:t>
      </w:r>
      <w:r w:rsidR="00AE05A6">
        <w:rPr>
          <w:lang w:val="en-US"/>
        </w:rPr>
        <w:t xml:space="preserve">. </w:t>
      </w:r>
      <w:r>
        <w:rPr>
          <w:lang w:val="en-US"/>
        </w:rPr>
        <w:t>Therefore, feMTC device can u</w:t>
      </w:r>
      <w:r w:rsidR="00B954C8">
        <w:rPr>
          <w:lang w:val="en-US"/>
        </w:rPr>
        <w:t xml:space="preserve">se them in one single process. </w:t>
      </w:r>
      <w:r w:rsidR="00A52E02">
        <w:rPr>
          <w:lang w:val="en-US"/>
        </w:rPr>
        <w:t xml:space="preserve">The E-PRS can of course also be placed before the legacy PRS but if it is placed after the legacy PRS then both the legacy and feMTC UE can share the same starting Positioning Occasion.  </w:t>
      </w:r>
      <w:r w:rsidR="002B5DFB">
        <w:rPr>
          <w:lang w:val="en-US"/>
        </w:rPr>
        <w:t xml:space="preserve">The transmission of E-PRS for feMTC wider bandwidth (e.g. 5 MHz) can partly be used by the MTC device with smaller bandwidth (e.g. 1.4. MHz). </w:t>
      </w:r>
      <w:r w:rsidR="00CC106F">
        <w:rPr>
          <w:lang w:val="en-US"/>
        </w:rPr>
        <w:t xml:space="preserve">The location of </w:t>
      </w:r>
      <w:r w:rsidR="00E52F1A">
        <w:rPr>
          <w:lang w:val="en-US"/>
        </w:rPr>
        <w:t>E</w:t>
      </w:r>
      <w:r w:rsidR="00CC106F">
        <w:rPr>
          <w:lang w:val="en-US"/>
        </w:rPr>
        <w:t xml:space="preserve">-PRS is for example in the central </w:t>
      </w:r>
      <w:r w:rsidR="00E52F1A">
        <w:rPr>
          <w:lang w:val="en-US"/>
        </w:rPr>
        <w:t>narrowband</w:t>
      </w:r>
      <w:r w:rsidR="00CC106F">
        <w:rPr>
          <w:lang w:val="en-US"/>
        </w:rPr>
        <w:t xml:space="preserve">. However, it can be in any other narrowband region. However, in such </w:t>
      </w:r>
      <w:r w:rsidR="00B074AA">
        <w:rPr>
          <w:lang w:val="en-US"/>
        </w:rPr>
        <w:t xml:space="preserve">a </w:t>
      </w:r>
      <w:r w:rsidR="00CC106F">
        <w:rPr>
          <w:lang w:val="en-US"/>
        </w:rPr>
        <w:t xml:space="preserve">case, </w:t>
      </w:r>
      <w:r w:rsidR="002B5DFB">
        <w:rPr>
          <w:lang w:val="en-US"/>
        </w:rPr>
        <w:t>the E-PRS allocation</w:t>
      </w:r>
      <w:r w:rsidR="00CC106F">
        <w:rPr>
          <w:lang w:val="en-US"/>
        </w:rPr>
        <w:t xml:space="preserve"> must be coordinated with other neighbo</w:t>
      </w:r>
      <w:r w:rsidR="00B074AA">
        <w:rPr>
          <w:lang w:val="en-US"/>
        </w:rPr>
        <w:t>u</w:t>
      </w:r>
      <w:r w:rsidR="00CC106F">
        <w:rPr>
          <w:lang w:val="en-US"/>
        </w:rPr>
        <w:t>r eNBs and also known by the UEs in the cell. Th</w:t>
      </w:r>
      <w:r w:rsidR="00B954C8">
        <w:rPr>
          <w:lang w:val="en-US"/>
        </w:rPr>
        <w:t>is is to ensure that</w:t>
      </w:r>
      <w:r w:rsidR="00CC106F">
        <w:rPr>
          <w:lang w:val="en-US"/>
        </w:rPr>
        <w:t xml:space="preserve"> the feMTC UEs can receive </w:t>
      </w:r>
      <w:r w:rsidR="00E52F1A">
        <w:rPr>
          <w:lang w:val="en-US"/>
        </w:rPr>
        <w:t>E</w:t>
      </w:r>
      <w:r w:rsidR="00CC106F">
        <w:rPr>
          <w:lang w:val="en-US"/>
        </w:rPr>
        <w:t xml:space="preserve">-PRS from multiple eNBs at the same time. </w:t>
      </w:r>
    </w:p>
    <w:p w14:paraId="06A72E02" w14:textId="77777777" w:rsidR="00CC106F" w:rsidRDefault="00CC106F" w:rsidP="00D55237">
      <w:pPr>
        <w:jc w:val="both"/>
        <w:rPr>
          <w:lang w:val="en-US"/>
        </w:rPr>
      </w:pPr>
    </w:p>
    <w:p w14:paraId="569CBB99" w14:textId="77777777" w:rsidR="00AE05A6" w:rsidRDefault="00AE05A6" w:rsidP="00D55237">
      <w:pPr>
        <w:jc w:val="both"/>
        <w:rPr>
          <w:lang w:val="en-US"/>
        </w:rPr>
      </w:pPr>
    </w:p>
    <w:p w14:paraId="55D5B140" w14:textId="54960A15" w:rsidR="00AE05A6" w:rsidRDefault="00B954C8" w:rsidP="00AE05A6">
      <w:pPr>
        <w:keepNext/>
        <w:jc w:val="center"/>
      </w:pPr>
      <w:r>
        <w:object w:dxaOrig="10515" w:dyaOrig="8455" w14:anchorId="560E0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284.6pt" o:ole="">
            <v:imagedata r:id="rId8" o:title=""/>
          </v:shape>
          <o:OLEObject Type="Embed" ProgID="Visio.Drawing.11" ShapeID="_x0000_i1025" DrawAspect="Content" ObjectID="_1539791026" r:id="rId9"/>
        </w:object>
      </w:r>
    </w:p>
    <w:p w14:paraId="01FDC7D5" w14:textId="77777777" w:rsidR="00AE05A6" w:rsidRPr="00E17FFE" w:rsidRDefault="00AE05A6" w:rsidP="00AE05A6">
      <w:pPr>
        <w:pStyle w:val="Caption"/>
        <w:jc w:val="center"/>
        <w:rPr>
          <w:b w:val="0"/>
          <w:lang w:val="en-US"/>
        </w:rPr>
      </w:pPr>
      <w:bookmarkStart w:id="3" w:name="_Ref462838978"/>
      <w:r w:rsidRPr="00E17FFE">
        <w:rPr>
          <w:b w:val="0"/>
        </w:rPr>
        <w:t xml:space="preserve">Figure </w:t>
      </w:r>
      <w:r w:rsidRPr="00E17FFE">
        <w:rPr>
          <w:b w:val="0"/>
        </w:rPr>
        <w:fldChar w:fldCharType="begin"/>
      </w:r>
      <w:r w:rsidRPr="00E17FFE">
        <w:rPr>
          <w:b w:val="0"/>
        </w:rPr>
        <w:instrText xml:space="preserve"> SEQ Figure \* ARABIC </w:instrText>
      </w:r>
      <w:r w:rsidRPr="00E17FFE">
        <w:rPr>
          <w:b w:val="0"/>
        </w:rPr>
        <w:fldChar w:fldCharType="separate"/>
      </w:r>
      <w:r w:rsidR="002E280F">
        <w:rPr>
          <w:b w:val="0"/>
          <w:noProof/>
        </w:rPr>
        <w:t>1</w:t>
      </w:r>
      <w:r w:rsidRPr="00E17FFE">
        <w:rPr>
          <w:b w:val="0"/>
        </w:rPr>
        <w:fldChar w:fldCharType="end"/>
      </w:r>
      <w:bookmarkEnd w:id="3"/>
      <w:r w:rsidR="00E52F1A" w:rsidRPr="00E17FFE">
        <w:rPr>
          <w:b w:val="0"/>
        </w:rPr>
        <w:t>: E</w:t>
      </w:r>
      <w:r w:rsidRPr="00E17FFE">
        <w:rPr>
          <w:b w:val="0"/>
        </w:rPr>
        <w:t>-PRS transmission right after the legacy PRS.</w:t>
      </w:r>
    </w:p>
    <w:p w14:paraId="7FE7F936" w14:textId="77777777" w:rsidR="00AE05A6" w:rsidRDefault="00AE05A6" w:rsidP="00D55237">
      <w:pPr>
        <w:jc w:val="both"/>
        <w:rPr>
          <w:lang w:val="en-US"/>
        </w:rPr>
      </w:pPr>
    </w:p>
    <w:p w14:paraId="0A59BB6A" w14:textId="77777777" w:rsidR="00CA0244" w:rsidRDefault="00CA0244" w:rsidP="00D55237">
      <w:pPr>
        <w:jc w:val="both"/>
        <w:rPr>
          <w:lang w:val="en-US"/>
        </w:rPr>
      </w:pPr>
    </w:p>
    <w:p w14:paraId="234C5779" w14:textId="61F8D174" w:rsidR="002B5DFB" w:rsidRPr="00B954C8" w:rsidRDefault="002B5DFB" w:rsidP="002B5DFB">
      <w:pPr>
        <w:jc w:val="both"/>
        <w:rPr>
          <w:b/>
          <w:lang w:val="en-US"/>
        </w:rPr>
      </w:pPr>
      <w:r w:rsidRPr="00B954C8">
        <w:rPr>
          <w:b/>
          <w:lang w:val="en-US"/>
        </w:rPr>
        <w:t xml:space="preserve">Proposal </w:t>
      </w:r>
      <w:r>
        <w:rPr>
          <w:b/>
          <w:lang w:val="en-US"/>
        </w:rPr>
        <w:t>2</w:t>
      </w:r>
      <w:r w:rsidRPr="00B954C8">
        <w:rPr>
          <w:b/>
          <w:lang w:val="en-US"/>
        </w:rPr>
        <w:t xml:space="preserve">: E-PRS transmission </w:t>
      </w:r>
      <w:r>
        <w:rPr>
          <w:b/>
          <w:lang w:val="en-US"/>
        </w:rPr>
        <w:t xml:space="preserve">is subsequently right after the transmission of legacy LTE PRS. </w:t>
      </w:r>
      <w:r w:rsidRPr="002B5DFB">
        <w:rPr>
          <w:b/>
          <w:lang w:val="en-US"/>
        </w:rPr>
        <w:t>The transmission of E-PRS for feMTC wider bandwidth (e.g. 5 MHz) can partly be used by the MTC device with smaller bandwidth (e.g. 1.4. MHz).</w:t>
      </w:r>
    </w:p>
    <w:p w14:paraId="0DE3B3EF" w14:textId="77777777" w:rsidR="0051008B" w:rsidRPr="00D55237" w:rsidRDefault="0051008B" w:rsidP="00914FC0">
      <w:pPr>
        <w:jc w:val="both"/>
        <w:rPr>
          <w:lang w:val="en-US"/>
        </w:rPr>
      </w:pPr>
    </w:p>
    <w:p w14:paraId="2E5E928F" w14:textId="46C7DE74" w:rsidR="00A07DD9" w:rsidRDefault="00A07DD9" w:rsidP="00A07DD9">
      <w:pPr>
        <w:jc w:val="both"/>
      </w:pPr>
      <w:r>
        <w:t xml:space="preserve">Other potential enhancement to E-PRS is to enable frequency hopping </w:t>
      </w:r>
      <w:r w:rsidR="002B5DFB">
        <w:t xml:space="preserve">operation </w:t>
      </w:r>
      <w:r>
        <w:t>across narrowband, which can benefit from frequency diversity and improve the timing measurement accuracy</w:t>
      </w:r>
      <w:r w:rsidR="002B5DFB">
        <w:t xml:space="preserve">. The frequency allocation of E-PRS supporting frequency hopping can be reconfigurable. The frequency hopping operation of E-PRS is illustrated in the following </w:t>
      </w:r>
      <w:r w:rsidR="002E280F">
        <w:fldChar w:fldCharType="begin"/>
      </w:r>
      <w:r w:rsidR="002E280F">
        <w:instrText xml:space="preserve"> REF _Ref465999627 \h </w:instrText>
      </w:r>
      <w:r w:rsidR="002E280F">
        <w:fldChar w:fldCharType="separate"/>
      </w:r>
      <w:r w:rsidR="002E280F">
        <w:t xml:space="preserve">Figure </w:t>
      </w:r>
      <w:r w:rsidR="002E280F">
        <w:rPr>
          <w:noProof/>
        </w:rPr>
        <w:t>2</w:t>
      </w:r>
      <w:r w:rsidR="002E280F">
        <w:fldChar w:fldCharType="end"/>
      </w:r>
      <w:r w:rsidR="002E280F">
        <w:t xml:space="preserve">. In case of feMTC with 1.4 MHz, the frequency hopping options can be relatively more compared to feMTC with 5 MHz. For example, </w:t>
      </w:r>
      <w:r w:rsidR="00FB362B">
        <w:t>i</w:t>
      </w:r>
      <w:r w:rsidR="002E280F">
        <w:t>t can perform frequency hopping operation within 5 MHz narrowband.</w:t>
      </w:r>
    </w:p>
    <w:p w14:paraId="0BF17A69" w14:textId="77777777" w:rsidR="002E280F" w:rsidRDefault="002E280F" w:rsidP="00A07DD9">
      <w:pPr>
        <w:jc w:val="both"/>
      </w:pPr>
    </w:p>
    <w:p w14:paraId="440D5CBD" w14:textId="77777777" w:rsidR="002E280F" w:rsidRDefault="002E280F" w:rsidP="002E280F">
      <w:pPr>
        <w:keepNext/>
        <w:jc w:val="center"/>
      </w:pPr>
      <w:r>
        <w:object w:dxaOrig="9288" w:dyaOrig="8524" w14:anchorId="3D41ED50">
          <v:shape id="_x0000_i1026" type="#_x0000_t75" style="width:279.85pt;height:256.75pt" o:ole="">
            <v:imagedata r:id="rId10" o:title=""/>
          </v:shape>
          <o:OLEObject Type="Embed" ProgID="Visio.Drawing.11" ShapeID="_x0000_i1026" DrawAspect="Content" ObjectID="_1539791027" r:id="rId11"/>
        </w:object>
      </w:r>
    </w:p>
    <w:p w14:paraId="49F1B40F" w14:textId="3CF53FBF" w:rsidR="002E280F" w:rsidRDefault="002E280F" w:rsidP="002E280F">
      <w:pPr>
        <w:pStyle w:val="Caption"/>
        <w:jc w:val="center"/>
      </w:pPr>
      <w:bookmarkStart w:id="4" w:name="_Ref465999627"/>
      <w:r>
        <w:t xml:space="preserve">Figure </w:t>
      </w:r>
      <w:r w:rsidR="008A6C2A">
        <w:fldChar w:fldCharType="begin"/>
      </w:r>
      <w:r w:rsidR="008A6C2A">
        <w:instrText xml:space="preserve"> SEQ Figure \* ARABIC </w:instrText>
      </w:r>
      <w:r w:rsidR="008A6C2A">
        <w:fldChar w:fldCharType="separate"/>
      </w:r>
      <w:r>
        <w:rPr>
          <w:noProof/>
        </w:rPr>
        <w:t>2</w:t>
      </w:r>
      <w:r w:rsidR="008A6C2A">
        <w:rPr>
          <w:noProof/>
        </w:rPr>
        <w:fldChar w:fldCharType="end"/>
      </w:r>
      <w:bookmarkEnd w:id="4"/>
      <w:r>
        <w:t>: E-PRS with frequency hopping operation.</w:t>
      </w:r>
    </w:p>
    <w:p w14:paraId="7A6F8C01" w14:textId="77777777" w:rsidR="00115742" w:rsidRDefault="00115742" w:rsidP="00A07DD9">
      <w:pPr>
        <w:jc w:val="both"/>
      </w:pPr>
    </w:p>
    <w:p w14:paraId="6140A482" w14:textId="170C1DC7" w:rsidR="00AB609B" w:rsidRPr="005413DD" w:rsidRDefault="00AB609B" w:rsidP="00AB609B">
      <w:pPr>
        <w:jc w:val="both"/>
        <w:rPr>
          <w:b/>
        </w:rPr>
      </w:pPr>
      <w:r>
        <w:rPr>
          <w:b/>
        </w:rPr>
        <w:t xml:space="preserve">Proposal </w:t>
      </w:r>
      <w:r w:rsidR="002B5DFB">
        <w:rPr>
          <w:b/>
        </w:rPr>
        <w:t>3</w:t>
      </w:r>
      <w:r>
        <w:rPr>
          <w:b/>
        </w:rPr>
        <w:t xml:space="preserve">: E-PRS </w:t>
      </w:r>
      <w:r w:rsidR="002B5DFB">
        <w:rPr>
          <w:b/>
        </w:rPr>
        <w:t xml:space="preserve">support the frequency hopping operation </w:t>
      </w:r>
      <w:r w:rsidR="0097034C">
        <w:rPr>
          <w:b/>
        </w:rPr>
        <w:t>between narrowbands</w:t>
      </w:r>
      <w:r>
        <w:rPr>
          <w:b/>
        </w:rPr>
        <w:t>.</w:t>
      </w:r>
    </w:p>
    <w:p w14:paraId="07F40937" w14:textId="77777777" w:rsidR="003E54A1" w:rsidRDefault="003E54A1" w:rsidP="003E54A1">
      <w:pPr>
        <w:jc w:val="both"/>
        <w:rPr>
          <w:b/>
        </w:rPr>
      </w:pPr>
    </w:p>
    <w:p w14:paraId="7E7C3563" w14:textId="50D9A23B" w:rsidR="00FB362B" w:rsidRDefault="00FB362B" w:rsidP="00FB362B">
      <w:pPr>
        <w:jc w:val="both"/>
        <w:rPr>
          <w:lang w:val="en-US"/>
        </w:rPr>
      </w:pPr>
      <w:r>
        <w:rPr>
          <w:lang w:val="en-US"/>
        </w:rPr>
        <w:t>The transmission of legacy PRS is within certain number of consecutive DL subframes, and known as N_PRS. In order to support coverage enhancement operation, the combined PRS transmission and E-PRS transmission can be repeated several times. Thus, the total transmission can be (N_PRS + N_E-PRS) times X subframes.  This repetition is to enable symbol combining of the received NPRS at the receiver, as typically use in NB-IoT coverage enhancement operation.</w:t>
      </w:r>
    </w:p>
    <w:p w14:paraId="7E191225" w14:textId="77777777" w:rsidR="00FB362B" w:rsidRDefault="00FB362B" w:rsidP="00FB362B">
      <w:pPr>
        <w:jc w:val="both"/>
        <w:rPr>
          <w:lang w:val="en-US"/>
        </w:rPr>
      </w:pPr>
    </w:p>
    <w:p w14:paraId="22DA06F6" w14:textId="669984E4" w:rsidR="00FB362B" w:rsidRPr="00996A47" w:rsidRDefault="00FB362B" w:rsidP="00FB362B">
      <w:pPr>
        <w:jc w:val="both"/>
        <w:rPr>
          <w:b/>
        </w:rPr>
      </w:pPr>
      <w:r>
        <w:rPr>
          <w:b/>
        </w:rPr>
        <w:t>Proposal 4</w:t>
      </w:r>
      <w:r w:rsidRPr="00996A47">
        <w:rPr>
          <w:b/>
        </w:rPr>
        <w:t xml:space="preserve">: The transmission of </w:t>
      </w:r>
      <w:r>
        <w:rPr>
          <w:b/>
        </w:rPr>
        <w:t xml:space="preserve">both </w:t>
      </w:r>
      <w:r w:rsidRPr="00996A47">
        <w:rPr>
          <w:b/>
        </w:rPr>
        <w:t xml:space="preserve">PRS </w:t>
      </w:r>
      <w:r>
        <w:rPr>
          <w:b/>
        </w:rPr>
        <w:t xml:space="preserve">and E-PRS </w:t>
      </w:r>
      <w:r w:rsidRPr="00996A47">
        <w:rPr>
          <w:b/>
        </w:rPr>
        <w:t>with</w:t>
      </w:r>
      <w:r>
        <w:rPr>
          <w:b/>
        </w:rPr>
        <w:t>in</w:t>
      </w:r>
      <w:r w:rsidRPr="00996A47">
        <w:rPr>
          <w:b/>
        </w:rPr>
        <w:t xml:space="preserve"> certain num</w:t>
      </w:r>
      <w:r>
        <w:rPr>
          <w:b/>
        </w:rPr>
        <w:t xml:space="preserve">ber of consecutive DL subframes </w:t>
      </w:r>
      <w:r w:rsidRPr="00996A47">
        <w:rPr>
          <w:b/>
        </w:rPr>
        <w:t xml:space="preserve">can be repeated </w:t>
      </w:r>
      <w:r>
        <w:rPr>
          <w:b/>
        </w:rPr>
        <w:t xml:space="preserve">multiple times </w:t>
      </w:r>
      <w:r w:rsidRPr="00996A47">
        <w:rPr>
          <w:b/>
        </w:rPr>
        <w:t>to support coverage enhancement.</w:t>
      </w:r>
    </w:p>
    <w:p w14:paraId="6DC53CF5" w14:textId="77777777" w:rsidR="00455260" w:rsidRDefault="00455260" w:rsidP="003E54A1">
      <w:pPr>
        <w:jc w:val="both"/>
        <w:rPr>
          <w:b/>
        </w:rPr>
      </w:pPr>
    </w:p>
    <w:p w14:paraId="42C06263" w14:textId="76684E10" w:rsidR="00455260" w:rsidRDefault="00455260" w:rsidP="003E54A1">
      <w:pPr>
        <w:jc w:val="both"/>
      </w:pPr>
      <w:r w:rsidRPr="00FB362B">
        <w:t xml:space="preserve">The </w:t>
      </w:r>
      <w:r w:rsidRPr="00455260">
        <w:t>E-PRS density in a narrowband for a particular cell can be higher than that for PRS.  For example, instead of 6 set</w:t>
      </w:r>
      <w:r>
        <w:t>s</w:t>
      </w:r>
      <w:r w:rsidRPr="00455260">
        <w:t xml:space="preserve"> of PRS </w:t>
      </w:r>
      <w:r>
        <w:t>in a subframe, we can have 3 sets of E-PRS per subframe.  This can reduce the number of OTDOA measurements per time at the UE, i.e. instead of evaluating OTDOA for 6 cells at a time, it evaluates 3 cells at a time.  Furthermore if there are less than 6 cells to evaluate it is beneficial that the density of E-PRS is increased rather than increasing the repetition of the E-PRS.</w:t>
      </w:r>
    </w:p>
    <w:p w14:paraId="5F0FA636" w14:textId="77777777" w:rsidR="00455260" w:rsidRDefault="00455260" w:rsidP="003E54A1">
      <w:pPr>
        <w:jc w:val="both"/>
      </w:pPr>
    </w:p>
    <w:p w14:paraId="1A87C3F6" w14:textId="5B9A58AB" w:rsidR="00455260" w:rsidRPr="00455260" w:rsidRDefault="00455260" w:rsidP="003E54A1">
      <w:pPr>
        <w:jc w:val="both"/>
        <w:rPr>
          <w:b/>
        </w:rPr>
      </w:pPr>
      <w:r w:rsidRPr="00FB362B">
        <w:rPr>
          <w:b/>
        </w:rPr>
        <w:t xml:space="preserve">Proposal </w:t>
      </w:r>
      <w:r w:rsidR="00FB362B">
        <w:rPr>
          <w:b/>
        </w:rPr>
        <w:t>5</w:t>
      </w:r>
      <w:r w:rsidRPr="00FB362B">
        <w:rPr>
          <w:b/>
        </w:rPr>
        <w:t>: Consider increasing the E-PRS density for a cell by reducing the number of cells transmitting E-PRS in a subframe.</w:t>
      </w:r>
    </w:p>
    <w:p w14:paraId="38122B5E" w14:textId="77777777" w:rsidR="000B62CA" w:rsidRPr="000B62CA"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 xml:space="preserve">Conclusion </w:t>
      </w:r>
    </w:p>
    <w:p w14:paraId="2C168B51" w14:textId="78FCC9D8" w:rsidR="00625B19" w:rsidRDefault="00625B19" w:rsidP="00D7446D">
      <w:pPr>
        <w:shd w:val="clear" w:color="auto" w:fill="FFFFFF"/>
        <w:jc w:val="both"/>
        <w:rPr>
          <w:rFonts w:cs="Arial"/>
          <w:lang w:val="en-US"/>
        </w:rPr>
      </w:pPr>
      <w:r>
        <w:rPr>
          <w:rFonts w:cs="Arial"/>
          <w:lang w:val="en-US"/>
        </w:rPr>
        <w:t xml:space="preserve">In this contribution we </w:t>
      </w:r>
      <w:r w:rsidR="00D7446D">
        <w:rPr>
          <w:rFonts w:cs="Arial"/>
          <w:lang w:val="en-US"/>
        </w:rPr>
        <w:t xml:space="preserve">discussed </w:t>
      </w:r>
      <w:r w:rsidR="00D7446D">
        <w:rPr>
          <w:lang w:val="en-US"/>
        </w:rPr>
        <w:t>our view</w:t>
      </w:r>
      <w:r w:rsidR="0097034C">
        <w:rPr>
          <w:lang w:val="en-US"/>
        </w:rPr>
        <w:t>s</w:t>
      </w:r>
      <w:r w:rsidR="00D7446D">
        <w:rPr>
          <w:lang w:val="en-US"/>
        </w:rPr>
        <w:t xml:space="preserve"> </w:t>
      </w:r>
      <w:r w:rsidR="005413DD">
        <w:rPr>
          <w:bCs/>
          <w:lang w:val="en-US"/>
        </w:rPr>
        <w:t xml:space="preserve">on several </w:t>
      </w:r>
      <w:r w:rsidR="002E280F">
        <w:rPr>
          <w:bCs/>
          <w:lang w:val="en-US"/>
        </w:rPr>
        <w:t>possible options to improve OTDO</w:t>
      </w:r>
      <w:r w:rsidR="005413DD">
        <w:rPr>
          <w:bCs/>
          <w:lang w:val="en-US"/>
        </w:rPr>
        <w:t xml:space="preserve">A based positioning for feMTC UE </w:t>
      </w:r>
      <w:r>
        <w:rPr>
          <w:rFonts w:cs="Arial"/>
          <w:lang w:val="en-US"/>
        </w:rPr>
        <w:t>and</w:t>
      </w:r>
      <w:r w:rsidR="000407A3">
        <w:rPr>
          <w:rFonts w:cs="Arial"/>
          <w:lang w:val="en-US"/>
        </w:rPr>
        <w:t xml:space="preserve"> made the following </w:t>
      </w:r>
      <w:r>
        <w:rPr>
          <w:rFonts w:cs="Arial"/>
          <w:lang w:val="en-US"/>
        </w:rPr>
        <w:t>proposal</w:t>
      </w:r>
      <w:r w:rsidR="000407A3">
        <w:rPr>
          <w:rFonts w:cs="Arial"/>
          <w:lang w:val="en-US"/>
        </w:rPr>
        <w:t>s</w:t>
      </w:r>
      <w:r>
        <w:rPr>
          <w:rFonts w:cs="Arial"/>
          <w:lang w:val="en-US"/>
        </w:rPr>
        <w:t>:</w:t>
      </w:r>
    </w:p>
    <w:p w14:paraId="77EB77EA" w14:textId="77777777" w:rsidR="004641B4" w:rsidRDefault="004641B4" w:rsidP="004641B4">
      <w:pPr>
        <w:jc w:val="both"/>
        <w:rPr>
          <w:b/>
          <w:lang w:val="en-US"/>
        </w:rPr>
      </w:pPr>
    </w:p>
    <w:p w14:paraId="7D15902E" w14:textId="74D564B6" w:rsidR="002E280F" w:rsidRPr="00B954C8" w:rsidRDefault="002E280F" w:rsidP="002E280F">
      <w:pPr>
        <w:jc w:val="both"/>
        <w:rPr>
          <w:b/>
          <w:lang w:val="en-US"/>
        </w:rPr>
      </w:pPr>
      <w:r w:rsidRPr="00B954C8">
        <w:rPr>
          <w:b/>
          <w:lang w:val="en-US"/>
        </w:rPr>
        <w:t xml:space="preserve">Proposal 1: Introduce E-PRS transmission where the E-PRS can have a longer </w:t>
      </w:r>
      <w:r>
        <w:rPr>
          <w:b/>
          <w:lang w:val="en-US"/>
        </w:rPr>
        <w:t>transmission</w:t>
      </w:r>
      <w:r w:rsidRPr="00B954C8">
        <w:rPr>
          <w:b/>
          <w:lang w:val="en-US"/>
        </w:rPr>
        <w:t xml:space="preserve"> </w:t>
      </w:r>
      <w:r>
        <w:rPr>
          <w:b/>
          <w:lang w:val="en-US"/>
        </w:rPr>
        <w:t xml:space="preserve">duration </w:t>
      </w:r>
      <w:r w:rsidRPr="00B954C8">
        <w:rPr>
          <w:b/>
          <w:lang w:val="en-US"/>
        </w:rPr>
        <w:t xml:space="preserve">than </w:t>
      </w:r>
      <w:r w:rsidR="00455260">
        <w:rPr>
          <w:b/>
          <w:lang w:val="en-US"/>
        </w:rPr>
        <w:t xml:space="preserve">that of </w:t>
      </w:r>
      <w:r w:rsidRPr="00B954C8">
        <w:rPr>
          <w:b/>
          <w:lang w:val="en-US"/>
        </w:rPr>
        <w:t>the legacy PRS.</w:t>
      </w:r>
    </w:p>
    <w:p w14:paraId="673F549B" w14:textId="77777777" w:rsidR="004641B4" w:rsidRPr="00E17FFE" w:rsidRDefault="004641B4" w:rsidP="004641B4">
      <w:pPr>
        <w:jc w:val="both"/>
        <w:rPr>
          <w:b/>
          <w:lang w:val="en-US"/>
        </w:rPr>
      </w:pPr>
    </w:p>
    <w:p w14:paraId="4DCD7FB6" w14:textId="77777777" w:rsidR="002E280F" w:rsidRPr="00B954C8" w:rsidRDefault="002E280F" w:rsidP="002E280F">
      <w:pPr>
        <w:jc w:val="both"/>
        <w:rPr>
          <w:b/>
          <w:lang w:val="en-US"/>
        </w:rPr>
      </w:pPr>
      <w:r w:rsidRPr="00B954C8">
        <w:rPr>
          <w:b/>
          <w:lang w:val="en-US"/>
        </w:rPr>
        <w:t xml:space="preserve">Proposal </w:t>
      </w:r>
      <w:r>
        <w:rPr>
          <w:b/>
          <w:lang w:val="en-US"/>
        </w:rPr>
        <w:t>2</w:t>
      </w:r>
      <w:r w:rsidRPr="00B954C8">
        <w:rPr>
          <w:b/>
          <w:lang w:val="en-US"/>
        </w:rPr>
        <w:t xml:space="preserve">: E-PRS transmission </w:t>
      </w:r>
      <w:r>
        <w:rPr>
          <w:b/>
          <w:lang w:val="en-US"/>
        </w:rPr>
        <w:t xml:space="preserve">is subsequently right after the transmission of legacy LTE PRS. </w:t>
      </w:r>
      <w:r w:rsidRPr="002B5DFB">
        <w:rPr>
          <w:b/>
          <w:lang w:val="en-US"/>
        </w:rPr>
        <w:t>The transmission of E-PRS for feMTC wider bandwidth (e.g. 5 MHz) can partly be used by the MTC device with smaller bandwidth (e.g. 1.4. MHz).</w:t>
      </w:r>
    </w:p>
    <w:p w14:paraId="1369E1EE" w14:textId="77777777" w:rsidR="004641B4" w:rsidRPr="00E17FFE" w:rsidRDefault="004641B4" w:rsidP="004641B4">
      <w:pPr>
        <w:jc w:val="both"/>
        <w:rPr>
          <w:b/>
          <w:lang w:val="en-US"/>
        </w:rPr>
      </w:pPr>
    </w:p>
    <w:p w14:paraId="297553B4" w14:textId="77777777" w:rsidR="002E280F" w:rsidRDefault="002E280F" w:rsidP="002E280F">
      <w:pPr>
        <w:jc w:val="both"/>
        <w:rPr>
          <w:b/>
        </w:rPr>
      </w:pPr>
      <w:r>
        <w:rPr>
          <w:b/>
        </w:rPr>
        <w:t>Proposal 3: E-PRS support the frequency hopping operation between narrowbands.</w:t>
      </w:r>
    </w:p>
    <w:p w14:paraId="0D88A084" w14:textId="77777777" w:rsidR="00FB362B" w:rsidRDefault="00FB362B" w:rsidP="002E280F">
      <w:pPr>
        <w:jc w:val="both"/>
        <w:rPr>
          <w:b/>
        </w:rPr>
      </w:pPr>
    </w:p>
    <w:p w14:paraId="248F13C9" w14:textId="77777777" w:rsidR="00FB362B" w:rsidRPr="00996A47" w:rsidRDefault="00FB362B" w:rsidP="00FB362B">
      <w:pPr>
        <w:jc w:val="both"/>
        <w:rPr>
          <w:b/>
        </w:rPr>
      </w:pPr>
      <w:r>
        <w:rPr>
          <w:b/>
        </w:rPr>
        <w:t>Proposal 4</w:t>
      </w:r>
      <w:r w:rsidRPr="00996A47">
        <w:rPr>
          <w:b/>
        </w:rPr>
        <w:t xml:space="preserve">: The transmission of </w:t>
      </w:r>
      <w:r>
        <w:rPr>
          <w:b/>
        </w:rPr>
        <w:t xml:space="preserve">both </w:t>
      </w:r>
      <w:r w:rsidRPr="00996A47">
        <w:rPr>
          <w:b/>
        </w:rPr>
        <w:t xml:space="preserve">PRS </w:t>
      </w:r>
      <w:r>
        <w:rPr>
          <w:b/>
        </w:rPr>
        <w:t xml:space="preserve">and EPRS </w:t>
      </w:r>
      <w:r w:rsidRPr="00996A47">
        <w:rPr>
          <w:b/>
        </w:rPr>
        <w:t>with</w:t>
      </w:r>
      <w:r>
        <w:rPr>
          <w:b/>
        </w:rPr>
        <w:t>in</w:t>
      </w:r>
      <w:r w:rsidRPr="00996A47">
        <w:rPr>
          <w:b/>
        </w:rPr>
        <w:t xml:space="preserve"> certain num</w:t>
      </w:r>
      <w:r>
        <w:rPr>
          <w:b/>
        </w:rPr>
        <w:t xml:space="preserve">ber of consecutive DL subframes </w:t>
      </w:r>
      <w:r w:rsidRPr="00996A47">
        <w:rPr>
          <w:b/>
        </w:rPr>
        <w:t>can be repeated to support coverage enhancement.</w:t>
      </w:r>
    </w:p>
    <w:p w14:paraId="4D828E04" w14:textId="77777777" w:rsidR="00FB362B" w:rsidRPr="005413DD" w:rsidRDefault="00FB362B" w:rsidP="002E280F">
      <w:pPr>
        <w:jc w:val="both"/>
        <w:rPr>
          <w:b/>
        </w:rPr>
      </w:pPr>
    </w:p>
    <w:p w14:paraId="1FAA2FBD" w14:textId="77777777" w:rsidR="00455260" w:rsidRDefault="00455260" w:rsidP="00455260">
      <w:pPr>
        <w:jc w:val="both"/>
        <w:rPr>
          <w:b/>
        </w:rPr>
      </w:pPr>
    </w:p>
    <w:p w14:paraId="28E977EB" w14:textId="4B4872A2" w:rsidR="00455260" w:rsidRPr="00455260" w:rsidRDefault="00455260" w:rsidP="00455260">
      <w:pPr>
        <w:jc w:val="both"/>
        <w:rPr>
          <w:b/>
        </w:rPr>
      </w:pPr>
      <w:r w:rsidRPr="00E10A2F">
        <w:rPr>
          <w:b/>
        </w:rPr>
        <w:t xml:space="preserve">Proposal </w:t>
      </w:r>
      <w:r w:rsidR="00FB362B">
        <w:rPr>
          <w:b/>
        </w:rPr>
        <w:t>5</w:t>
      </w:r>
      <w:r w:rsidRPr="00E10A2F">
        <w:rPr>
          <w:b/>
        </w:rPr>
        <w:t>: Consider increasing the E-PRS density for a cell by reducing the number of cells transmitting E-PRS in a subframe.</w:t>
      </w:r>
    </w:p>
    <w:p w14:paraId="0310B316" w14:textId="77777777" w:rsidR="005413DD" w:rsidRPr="00E17FFE" w:rsidRDefault="005413DD" w:rsidP="005413DD">
      <w:pPr>
        <w:jc w:val="both"/>
        <w:rPr>
          <w:b/>
        </w:rPr>
      </w:pPr>
    </w:p>
    <w:p w14:paraId="1B452CAD" w14:textId="77777777" w:rsidR="00625B19" w:rsidRPr="003646A8" w:rsidRDefault="00625B19" w:rsidP="00625B19">
      <w:pPr>
        <w:pStyle w:val="Heading1"/>
        <w:keepLines/>
        <w:pBdr>
          <w:top w:val="single" w:sz="12" w:space="3" w:color="auto"/>
        </w:pBdr>
        <w:overflowPunct w:val="0"/>
        <w:autoSpaceDE w:val="0"/>
        <w:autoSpaceDN w:val="0"/>
        <w:adjustRightInd w:val="0"/>
        <w:spacing w:before="240" w:after="180"/>
        <w:textAlignment w:val="baseline"/>
        <w:rPr>
          <w:rFonts w:eastAsia="Times New Roman"/>
          <w:b w:val="0"/>
          <w:sz w:val="36"/>
          <w:lang w:eastAsia="ja-JP"/>
        </w:rPr>
      </w:pPr>
      <w:r w:rsidRPr="003646A8">
        <w:rPr>
          <w:rFonts w:eastAsia="Times New Roman"/>
          <w:b w:val="0"/>
          <w:sz w:val="36"/>
          <w:lang w:eastAsia="ja-JP"/>
        </w:rPr>
        <w:t>References</w:t>
      </w:r>
    </w:p>
    <w:p w14:paraId="47CFA730" w14:textId="77777777" w:rsidR="004E4055" w:rsidRDefault="00914FC0" w:rsidP="00914FC0">
      <w:pPr>
        <w:numPr>
          <w:ilvl w:val="0"/>
          <w:numId w:val="3"/>
        </w:numPr>
        <w:autoSpaceDE w:val="0"/>
        <w:autoSpaceDN w:val="0"/>
        <w:adjustRightInd w:val="0"/>
        <w:snapToGrid w:val="0"/>
        <w:spacing w:after="120"/>
        <w:jc w:val="both"/>
      </w:pPr>
      <w:bookmarkStart w:id="5" w:name="_Ref462831726"/>
      <w:bookmarkStart w:id="6" w:name="_Ref458175179"/>
      <w:bookmarkStart w:id="7" w:name="_Ref458175375"/>
      <w:bookmarkStart w:id="8" w:name="_Ref434405094"/>
      <w:bookmarkStart w:id="9" w:name="_Ref447633816"/>
      <w:r w:rsidRPr="00914FC0">
        <w:t>RP-161464</w:t>
      </w:r>
      <w:r w:rsidRPr="00914FC0">
        <w:tab/>
      </w:r>
      <w:r>
        <w:t>“</w:t>
      </w:r>
      <w:r w:rsidRPr="00914FC0">
        <w:t>Revision of WI Further enhanced MTC for LTE</w:t>
      </w:r>
      <w:r>
        <w:t>”</w:t>
      </w:r>
      <w:r w:rsidR="005A27B8" w:rsidRPr="005A27B8">
        <w:t xml:space="preserve">, Nanjing, China, </w:t>
      </w:r>
      <w:r>
        <w:t>September</w:t>
      </w:r>
      <w:r w:rsidR="005A27B8" w:rsidRPr="005A27B8">
        <w:t>, 2016</w:t>
      </w:r>
      <w:bookmarkEnd w:id="5"/>
    </w:p>
    <w:p w14:paraId="2113E9C5" w14:textId="77777777" w:rsidR="003B4494" w:rsidRDefault="003B4494" w:rsidP="003B4494">
      <w:pPr>
        <w:widowControl w:val="0"/>
        <w:numPr>
          <w:ilvl w:val="0"/>
          <w:numId w:val="3"/>
        </w:numPr>
        <w:spacing w:afterLines="50" w:after="120" w:line="320" w:lineRule="exact"/>
        <w:jc w:val="both"/>
      </w:pPr>
      <w:bookmarkStart w:id="10" w:name="_Ref462835287"/>
      <w:bookmarkStart w:id="11" w:name="_Ref465995423"/>
      <w:r>
        <w:rPr>
          <w:rFonts w:hint="eastAsia"/>
        </w:rPr>
        <w:t>Chairman</w:t>
      </w:r>
      <w:r>
        <w:t>’</w:t>
      </w:r>
      <w:r>
        <w:rPr>
          <w:rFonts w:hint="eastAsia"/>
        </w:rPr>
        <w:t xml:space="preserve">s Notes, </w:t>
      </w:r>
      <w:r>
        <w:t>RAN WG1 #8</w:t>
      </w:r>
      <w:r>
        <w:rPr>
          <w:rFonts w:hint="eastAsia"/>
        </w:rPr>
        <w:t>6</w:t>
      </w:r>
      <w:r>
        <w:t>b</w:t>
      </w:r>
      <w:r>
        <w:rPr>
          <w:rFonts w:hint="eastAsia"/>
        </w:rPr>
        <w:t xml:space="preserve">, </w:t>
      </w:r>
      <w:r>
        <w:t>October 2016</w:t>
      </w:r>
      <w:r>
        <w:rPr>
          <w:rFonts w:hint="eastAsia"/>
        </w:rPr>
        <w:t>.</w:t>
      </w:r>
      <w:bookmarkEnd w:id="6"/>
      <w:bookmarkEnd w:id="7"/>
      <w:bookmarkEnd w:id="8"/>
      <w:bookmarkEnd w:id="9"/>
      <w:bookmarkEnd w:id="10"/>
      <w:bookmarkEnd w:id="11"/>
    </w:p>
    <w:sectPr w:rsidR="003B4494" w:rsidSect="008A075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E39BD" w14:textId="77777777" w:rsidR="008A6C2A" w:rsidRDefault="008A6C2A">
      <w:r>
        <w:separator/>
      </w:r>
    </w:p>
  </w:endnote>
  <w:endnote w:type="continuationSeparator" w:id="0">
    <w:p w14:paraId="34F7CAD4" w14:textId="77777777" w:rsidR="008A6C2A" w:rsidRDefault="008A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A260B" w14:textId="77777777" w:rsidR="008A6C2A" w:rsidRDefault="008A6C2A">
      <w:r>
        <w:separator/>
      </w:r>
    </w:p>
  </w:footnote>
  <w:footnote w:type="continuationSeparator" w:id="0">
    <w:p w14:paraId="6E492B28" w14:textId="77777777" w:rsidR="008A6C2A" w:rsidRDefault="008A6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B4004E"/>
    <w:multiLevelType w:val="multilevel"/>
    <w:tmpl w:val="340C2388"/>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A5633C"/>
    <w:multiLevelType w:val="hybridMultilevel"/>
    <w:tmpl w:val="136A499E"/>
    <w:lvl w:ilvl="0" w:tplc="26BA07A8">
      <w:numFmt w:val="bullet"/>
      <w:lvlText w:val="-"/>
      <w:lvlJc w:val="left"/>
      <w:pPr>
        <w:ind w:left="360" w:hanging="360"/>
      </w:pPr>
      <w:rPr>
        <w:rFonts w:ascii="Calibri" w:eastAsia="MS Mincho"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AFA6697"/>
    <w:multiLevelType w:val="hybridMultilevel"/>
    <w:tmpl w:val="E70664D6"/>
    <w:lvl w:ilvl="0" w:tplc="F68627AA">
      <w:start w:val="1"/>
      <w:numFmt w:val="bullet"/>
      <w:lvlText w:val="•"/>
      <w:lvlJc w:val="left"/>
      <w:pPr>
        <w:tabs>
          <w:tab w:val="num" w:pos="720"/>
        </w:tabs>
        <w:ind w:left="720" w:hanging="360"/>
      </w:pPr>
      <w:rPr>
        <w:rFonts w:ascii="Arial" w:hAnsi="Arial" w:hint="default"/>
      </w:rPr>
    </w:lvl>
    <w:lvl w:ilvl="1" w:tplc="319ECEF0">
      <w:start w:val="1040"/>
      <w:numFmt w:val="bullet"/>
      <w:lvlText w:val="–"/>
      <w:lvlJc w:val="left"/>
      <w:pPr>
        <w:tabs>
          <w:tab w:val="num" w:pos="1440"/>
        </w:tabs>
        <w:ind w:left="1440" w:hanging="360"/>
      </w:pPr>
      <w:rPr>
        <w:rFonts w:ascii="Arial" w:hAnsi="Arial" w:hint="default"/>
      </w:rPr>
    </w:lvl>
    <w:lvl w:ilvl="2" w:tplc="6330B322" w:tentative="1">
      <w:start w:val="1"/>
      <w:numFmt w:val="bullet"/>
      <w:lvlText w:val="•"/>
      <w:lvlJc w:val="left"/>
      <w:pPr>
        <w:tabs>
          <w:tab w:val="num" w:pos="2160"/>
        </w:tabs>
        <w:ind w:left="2160" w:hanging="360"/>
      </w:pPr>
      <w:rPr>
        <w:rFonts w:ascii="Arial" w:hAnsi="Arial" w:hint="default"/>
      </w:rPr>
    </w:lvl>
    <w:lvl w:ilvl="3" w:tplc="BE58BCB0" w:tentative="1">
      <w:start w:val="1"/>
      <w:numFmt w:val="bullet"/>
      <w:lvlText w:val="•"/>
      <w:lvlJc w:val="left"/>
      <w:pPr>
        <w:tabs>
          <w:tab w:val="num" w:pos="2880"/>
        </w:tabs>
        <w:ind w:left="2880" w:hanging="360"/>
      </w:pPr>
      <w:rPr>
        <w:rFonts w:ascii="Arial" w:hAnsi="Arial" w:hint="default"/>
      </w:rPr>
    </w:lvl>
    <w:lvl w:ilvl="4" w:tplc="5BB82134" w:tentative="1">
      <w:start w:val="1"/>
      <w:numFmt w:val="bullet"/>
      <w:lvlText w:val="•"/>
      <w:lvlJc w:val="left"/>
      <w:pPr>
        <w:tabs>
          <w:tab w:val="num" w:pos="3600"/>
        </w:tabs>
        <w:ind w:left="3600" w:hanging="360"/>
      </w:pPr>
      <w:rPr>
        <w:rFonts w:ascii="Arial" w:hAnsi="Arial" w:hint="default"/>
      </w:rPr>
    </w:lvl>
    <w:lvl w:ilvl="5" w:tplc="17E88EAC" w:tentative="1">
      <w:start w:val="1"/>
      <w:numFmt w:val="bullet"/>
      <w:lvlText w:val="•"/>
      <w:lvlJc w:val="left"/>
      <w:pPr>
        <w:tabs>
          <w:tab w:val="num" w:pos="4320"/>
        </w:tabs>
        <w:ind w:left="4320" w:hanging="360"/>
      </w:pPr>
      <w:rPr>
        <w:rFonts w:ascii="Arial" w:hAnsi="Arial" w:hint="default"/>
      </w:rPr>
    </w:lvl>
    <w:lvl w:ilvl="6" w:tplc="C81A01B6" w:tentative="1">
      <w:start w:val="1"/>
      <w:numFmt w:val="bullet"/>
      <w:lvlText w:val="•"/>
      <w:lvlJc w:val="left"/>
      <w:pPr>
        <w:tabs>
          <w:tab w:val="num" w:pos="5040"/>
        </w:tabs>
        <w:ind w:left="5040" w:hanging="360"/>
      </w:pPr>
      <w:rPr>
        <w:rFonts w:ascii="Arial" w:hAnsi="Arial" w:hint="default"/>
      </w:rPr>
    </w:lvl>
    <w:lvl w:ilvl="7" w:tplc="F7A2892E" w:tentative="1">
      <w:start w:val="1"/>
      <w:numFmt w:val="bullet"/>
      <w:lvlText w:val="•"/>
      <w:lvlJc w:val="left"/>
      <w:pPr>
        <w:tabs>
          <w:tab w:val="num" w:pos="5760"/>
        </w:tabs>
        <w:ind w:left="5760" w:hanging="360"/>
      </w:pPr>
      <w:rPr>
        <w:rFonts w:ascii="Arial" w:hAnsi="Arial" w:hint="default"/>
      </w:rPr>
    </w:lvl>
    <w:lvl w:ilvl="8" w:tplc="51CC5F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3246B5"/>
    <w:multiLevelType w:val="hybridMultilevel"/>
    <w:tmpl w:val="B5DA1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504F49"/>
    <w:multiLevelType w:val="hybridMultilevel"/>
    <w:tmpl w:val="ABAA0B5E"/>
    <w:lvl w:ilvl="0" w:tplc="E91A0E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F00698"/>
    <w:multiLevelType w:val="multilevel"/>
    <w:tmpl w:val="28D010FA"/>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57144A"/>
    <w:multiLevelType w:val="hybridMultilevel"/>
    <w:tmpl w:val="23DAE7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F9F5C44"/>
    <w:multiLevelType w:val="hybridMultilevel"/>
    <w:tmpl w:val="BC3CE2F0"/>
    <w:lvl w:ilvl="0" w:tplc="B1860398">
      <w:start w:val="1"/>
      <w:numFmt w:val="bullet"/>
      <w:lvlText w:val="•"/>
      <w:lvlJc w:val="left"/>
      <w:pPr>
        <w:tabs>
          <w:tab w:val="num" w:pos="720"/>
        </w:tabs>
        <w:ind w:left="720" w:hanging="360"/>
      </w:pPr>
      <w:rPr>
        <w:rFonts w:ascii="Arial" w:hAnsi="Arial" w:hint="default"/>
      </w:rPr>
    </w:lvl>
    <w:lvl w:ilvl="1" w:tplc="55CCDB6A">
      <w:numFmt w:val="bullet"/>
      <w:lvlText w:val="–"/>
      <w:lvlJc w:val="left"/>
      <w:pPr>
        <w:tabs>
          <w:tab w:val="num" w:pos="1440"/>
        </w:tabs>
        <w:ind w:left="1440" w:hanging="360"/>
      </w:pPr>
      <w:rPr>
        <w:rFonts w:ascii="Arial" w:hAnsi="Arial" w:hint="default"/>
      </w:rPr>
    </w:lvl>
    <w:lvl w:ilvl="2" w:tplc="311084E4" w:tentative="1">
      <w:start w:val="1"/>
      <w:numFmt w:val="bullet"/>
      <w:lvlText w:val="•"/>
      <w:lvlJc w:val="left"/>
      <w:pPr>
        <w:tabs>
          <w:tab w:val="num" w:pos="2160"/>
        </w:tabs>
        <w:ind w:left="2160" w:hanging="360"/>
      </w:pPr>
      <w:rPr>
        <w:rFonts w:ascii="Arial" w:hAnsi="Arial" w:hint="default"/>
      </w:rPr>
    </w:lvl>
    <w:lvl w:ilvl="3" w:tplc="A72EFD4C" w:tentative="1">
      <w:start w:val="1"/>
      <w:numFmt w:val="bullet"/>
      <w:lvlText w:val="•"/>
      <w:lvlJc w:val="left"/>
      <w:pPr>
        <w:tabs>
          <w:tab w:val="num" w:pos="2880"/>
        </w:tabs>
        <w:ind w:left="2880" w:hanging="360"/>
      </w:pPr>
      <w:rPr>
        <w:rFonts w:ascii="Arial" w:hAnsi="Arial" w:hint="default"/>
      </w:rPr>
    </w:lvl>
    <w:lvl w:ilvl="4" w:tplc="F2C8916E" w:tentative="1">
      <w:start w:val="1"/>
      <w:numFmt w:val="bullet"/>
      <w:lvlText w:val="•"/>
      <w:lvlJc w:val="left"/>
      <w:pPr>
        <w:tabs>
          <w:tab w:val="num" w:pos="3600"/>
        </w:tabs>
        <w:ind w:left="3600" w:hanging="360"/>
      </w:pPr>
      <w:rPr>
        <w:rFonts w:ascii="Arial" w:hAnsi="Arial" w:hint="default"/>
      </w:rPr>
    </w:lvl>
    <w:lvl w:ilvl="5" w:tplc="8EB4043A" w:tentative="1">
      <w:start w:val="1"/>
      <w:numFmt w:val="bullet"/>
      <w:lvlText w:val="•"/>
      <w:lvlJc w:val="left"/>
      <w:pPr>
        <w:tabs>
          <w:tab w:val="num" w:pos="4320"/>
        </w:tabs>
        <w:ind w:left="4320" w:hanging="360"/>
      </w:pPr>
      <w:rPr>
        <w:rFonts w:ascii="Arial" w:hAnsi="Arial" w:hint="default"/>
      </w:rPr>
    </w:lvl>
    <w:lvl w:ilvl="6" w:tplc="87D45222" w:tentative="1">
      <w:start w:val="1"/>
      <w:numFmt w:val="bullet"/>
      <w:lvlText w:val="•"/>
      <w:lvlJc w:val="left"/>
      <w:pPr>
        <w:tabs>
          <w:tab w:val="num" w:pos="5040"/>
        </w:tabs>
        <w:ind w:left="5040" w:hanging="360"/>
      </w:pPr>
      <w:rPr>
        <w:rFonts w:ascii="Arial" w:hAnsi="Arial" w:hint="default"/>
      </w:rPr>
    </w:lvl>
    <w:lvl w:ilvl="7" w:tplc="34589800" w:tentative="1">
      <w:start w:val="1"/>
      <w:numFmt w:val="bullet"/>
      <w:lvlText w:val="•"/>
      <w:lvlJc w:val="left"/>
      <w:pPr>
        <w:tabs>
          <w:tab w:val="num" w:pos="5760"/>
        </w:tabs>
        <w:ind w:left="5760" w:hanging="360"/>
      </w:pPr>
      <w:rPr>
        <w:rFonts w:ascii="Arial" w:hAnsi="Arial" w:hint="default"/>
      </w:rPr>
    </w:lvl>
    <w:lvl w:ilvl="8" w:tplc="A260DD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11"/>
  </w:num>
  <w:num w:numId="4">
    <w:abstractNumId w:val="1"/>
  </w:num>
  <w:num w:numId="5">
    <w:abstractNumId w:val="4"/>
  </w:num>
  <w:num w:numId="6">
    <w:abstractNumId w:val="6"/>
  </w:num>
  <w:num w:numId="7">
    <w:abstractNumId w:val="0"/>
  </w:num>
  <w:num w:numId="8">
    <w:abstractNumId w:val="12"/>
  </w:num>
  <w:num w:numId="9">
    <w:abstractNumId w:val="10"/>
  </w:num>
  <w:num w:numId="10">
    <w:abstractNumId w:val="3"/>
  </w:num>
  <w:num w:numId="11">
    <w:abstractNumId w:val="13"/>
  </w:num>
  <w:num w:numId="12">
    <w:abstractNumId w:val="9"/>
  </w:num>
  <w:num w:numId="13">
    <w:abstractNumId w:val="8"/>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19"/>
    <w:rsid w:val="000407A3"/>
    <w:rsid w:val="000B1B7A"/>
    <w:rsid w:val="000B456E"/>
    <w:rsid w:val="000B62CA"/>
    <w:rsid w:val="00104945"/>
    <w:rsid w:val="00115742"/>
    <w:rsid w:val="00135926"/>
    <w:rsid w:val="001A4540"/>
    <w:rsid w:val="001A7600"/>
    <w:rsid w:val="001C4FBB"/>
    <w:rsid w:val="00265B61"/>
    <w:rsid w:val="00272896"/>
    <w:rsid w:val="002A0438"/>
    <w:rsid w:val="002A469B"/>
    <w:rsid w:val="002B5DFB"/>
    <w:rsid w:val="002C5F27"/>
    <w:rsid w:val="002D23D4"/>
    <w:rsid w:val="002D67B1"/>
    <w:rsid w:val="002E280F"/>
    <w:rsid w:val="002E59F0"/>
    <w:rsid w:val="002E6480"/>
    <w:rsid w:val="00316124"/>
    <w:rsid w:val="00322860"/>
    <w:rsid w:val="00325457"/>
    <w:rsid w:val="00327C56"/>
    <w:rsid w:val="00380117"/>
    <w:rsid w:val="003B4494"/>
    <w:rsid w:val="003E54A1"/>
    <w:rsid w:val="003F1BB1"/>
    <w:rsid w:val="00411752"/>
    <w:rsid w:val="00414EBD"/>
    <w:rsid w:val="00455260"/>
    <w:rsid w:val="00455B60"/>
    <w:rsid w:val="004641B4"/>
    <w:rsid w:val="004661CC"/>
    <w:rsid w:val="00473B7C"/>
    <w:rsid w:val="00483A19"/>
    <w:rsid w:val="00483F63"/>
    <w:rsid w:val="004E062B"/>
    <w:rsid w:val="004E4055"/>
    <w:rsid w:val="0051008B"/>
    <w:rsid w:val="005413DD"/>
    <w:rsid w:val="00592E2F"/>
    <w:rsid w:val="005A27B8"/>
    <w:rsid w:val="005A581E"/>
    <w:rsid w:val="005B2B87"/>
    <w:rsid w:val="005F2FA4"/>
    <w:rsid w:val="00601E96"/>
    <w:rsid w:val="006175B0"/>
    <w:rsid w:val="006241C5"/>
    <w:rsid w:val="00625B19"/>
    <w:rsid w:val="0063289A"/>
    <w:rsid w:val="006841B3"/>
    <w:rsid w:val="006C1C7A"/>
    <w:rsid w:val="006E58BB"/>
    <w:rsid w:val="006F6495"/>
    <w:rsid w:val="006F737A"/>
    <w:rsid w:val="00722FF5"/>
    <w:rsid w:val="00786885"/>
    <w:rsid w:val="007B3ED2"/>
    <w:rsid w:val="00876A8F"/>
    <w:rsid w:val="008969D6"/>
    <w:rsid w:val="00897382"/>
    <w:rsid w:val="008A0754"/>
    <w:rsid w:val="008A1B4F"/>
    <w:rsid w:val="008A6C2A"/>
    <w:rsid w:val="00914FC0"/>
    <w:rsid w:val="0094040C"/>
    <w:rsid w:val="00941504"/>
    <w:rsid w:val="00953009"/>
    <w:rsid w:val="009679AA"/>
    <w:rsid w:val="0097034C"/>
    <w:rsid w:val="009821E5"/>
    <w:rsid w:val="009D1122"/>
    <w:rsid w:val="009E0181"/>
    <w:rsid w:val="00A07DD9"/>
    <w:rsid w:val="00A31058"/>
    <w:rsid w:val="00A52E02"/>
    <w:rsid w:val="00A62AB6"/>
    <w:rsid w:val="00A77049"/>
    <w:rsid w:val="00A83141"/>
    <w:rsid w:val="00A84B7E"/>
    <w:rsid w:val="00A86200"/>
    <w:rsid w:val="00AB4750"/>
    <w:rsid w:val="00AB609B"/>
    <w:rsid w:val="00AE05A6"/>
    <w:rsid w:val="00AE4269"/>
    <w:rsid w:val="00AF5E6D"/>
    <w:rsid w:val="00B03A30"/>
    <w:rsid w:val="00B074AA"/>
    <w:rsid w:val="00B2314D"/>
    <w:rsid w:val="00B37447"/>
    <w:rsid w:val="00B404B1"/>
    <w:rsid w:val="00B560F1"/>
    <w:rsid w:val="00B7653B"/>
    <w:rsid w:val="00B954C8"/>
    <w:rsid w:val="00BA33BB"/>
    <w:rsid w:val="00C21B6D"/>
    <w:rsid w:val="00C41E2F"/>
    <w:rsid w:val="00C70C36"/>
    <w:rsid w:val="00C72822"/>
    <w:rsid w:val="00C83488"/>
    <w:rsid w:val="00CA0244"/>
    <w:rsid w:val="00CB2C6D"/>
    <w:rsid w:val="00CC106F"/>
    <w:rsid w:val="00D17670"/>
    <w:rsid w:val="00D3799A"/>
    <w:rsid w:val="00D379BE"/>
    <w:rsid w:val="00D54620"/>
    <w:rsid w:val="00D54CFE"/>
    <w:rsid w:val="00D55237"/>
    <w:rsid w:val="00D7446D"/>
    <w:rsid w:val="00E17FFE"/>
    <w:rsid w:val="00E40EA3"/>
    <w:rsid w:val="00E468DE"/>
    <w:rsid w:val="00E52F1A"/>
    <w:rsid w:val="00E8177B"/>
    <w:rsid w:val="00EE5CF5"/>
    <w:rsid w:val="00F0416F"/>
    <w:rsid w:val="00F41491"/>
    <w:rsid w:val="00F739FE"/>
    <w:rsid w:val="00F82A77"/>
    <w:rsid w:val="00F9333F"/>
    <w:rsid w:val="00FB0FF5"/>
    <w:rsid w:val="00FB362B"/>
    <w:rsid w:val="00FC398E"/>
    <w:rsid w:val="00FF03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051EF"/>
  <w15:chartTrackingRefBased/>
  <w15:docId w15:val="{849A4A3F-AA09-49D7-BDE2-AF3E720B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19"/>
    <w:rPr>
      <w:rFonts w:ascii="Times New Roman" w:eastAsia="SimSu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rsid w:val="00625B19"/>
    <w:pPr>
      <w:keepNext/>
      <w:spacing w:before="360" w:after="120"/>
      <w:outlineLvl w:val="0"/>
    </w:pPr>
    <w:rPr>
      <w:rFonts w:ascii="Arial" w:hAnsi="Arial"/>
      <w:b/>
      <w:sz w:val="24"/>
    </w:rPr>
  </w:style>
  <w:style w:type="paragraph" w:styleId="Heading2">
    <w:name w:val="heading 2"/>
    <w:basedOn w:val="Normal"/>
    <w:next w:val="Normal"/>
    <w:link w:val="Heading2Char"/>
    <w:qFormat/>
    <w:rsid w:val="00625B19"/>
    <w:pPr>
      <w:keepNext/>
      <w:numPr>
        <w:ilvl w:val="1"/>
        <w:numId w:val="1"/>
      </w:numPr>
      <w:tabs>
        <w:tab w:val="left" w:pos="-806"/>
      </w:tabs>
      <w:spacing w:before="240" w:after="120"/>
      <w:ind w:left="357" w:hanging="357"/>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25B19"/>
    <w:rPr>
      <w:rFonts w:ascii="Arial" w:eastAsia="SimSun" w:hAnsi="Arial" w:cs="Times New Roman"/>
      <w:b/>
      <w:sz w:val="24"/>
      <w:szCs w:val="20"/>
      <w:lang w:eastAsia="en-US"/>
    </w:rPr>
  </w:style>
  <w:style w:type="character" w:customStyle="1" w:styleId="Heading2Char">
    <w:name w:val="Heading 2 Char"/>
    <w:link w:val="Heading2"/>
    <w:rsid w:val="00625B19"/>
    <w:rPr>
      <w:rFonts w:ascii="Arial" w:eastAsia="SimSun" w:hAnsi="Arial" w:cs="Times New Roman"/>
      <w:b/>
      <w:sz w:val="24"/>
      <w:szCs w:val="20"/>
      <w:lang w:eastAsia="en-US"/>
    </w:rPr>
  </w:style>
  <w:style w:type="paragraph" w:styleId="Caption">
    <w:name w:val="caption"/>
    <w:basedOn w:val="Normal"/>
    <w:next w:val="Normal"/>
    <w:uiPriority w:val="35"/>
    <w:qFormat/>
    <w:rsid w:val="00625B19"/>
    <w:pPr>
      <w:overflowPunct w:val="0"/>
      <w:autoSpaceDE w:val="0"/>
      <w:autoSpaceDN w:val="0"/>
      <w:adjustRightInd w:val="0"/>
      <w:spacing w:before="120" w:after="120"/>
      <w:textAlignment w:val="baseline"/>
    </w:pPr>
    <w:rPr>
      <w:rFonts w:eastAsia="Times New Roman"/>
      <w:b/>
      <w:lang w:eastAsia="ja-JP"/>
    </w:rPr>
  </w:style>
  <w:style w:type="paragraph" w:customStyle="1" w:styleId="references">
    <w:name w:val="references"/>
    <w:uiPriority w:val="99"/>
    <w:rsid w:val="00625B19"/>
    <w:pPr>
      <w:numPr>
        <w:numId w:val="2"/>
      </w:numPr>
      <w:spacing w:after="50" w:line="180" w:lineRule="exact"/>
      <w:jc w:val="both"/>
    </w:pPr>
    <w:rPr>
      <w:rFonts w:ascii="Times New Roman" w:hAnsi="Times New Roman"/>
      <w:noProof/>
      <w:szCs w:val="16"/>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A62AB6"/>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62AB6"/>
    <w:rPr>
      <w:rFonts w:ascii="Times New Roman" w:eastAsia="SimSun" w:hAnsi="Times New Roman"/>
      <w:lang w:eastAsia="en-US"/>
    </w:rPr>
  </w:style>
  <w:style w:type="paragraph" w:styleId="Footer">
    <w:name w:val="footer"/>
    <w:basedOn w:val="Normal"/>
    <w:link w:val="FooterChar"/>
    <w:uiPriority w:val="99"/>
    <w:unhideWhenUsed/>
    <w:rsid w:val="00A62AB6"/>
    <w:pPr>
      <w:tabs>
        <w:tab w:val="center" w:pos="4536"/>
        <w:tab w:val="right" w:pos="9072"/>
      </w:tabs>
    </w:pPr>
  </w:style>
  <w:style w:type="character" w:customStyle="1" w:styleId="FooterChar">
    <w:name w:val="Footer Char"/>
    <w:link w:val="Footer"/>
    <w:uiPriority w:val="99"/>
    <w:rsid w:val="00A62AB6"/>
    <w:rPr>
      <w:rFonts w:ascii="Times New Roman" w:eastAsia="SimSun" w:hAnsi="Times New Roman"/>
      <w:lang w:eastAsia="en-US"/>
    </w:rPr>
  </w:style>
  <w:style w:type="paragraph" w:styleId="ListParagraph">
    <w:name w:val="List Paragraph"/>
    <w:basedOn w:val="Normal"/>
    <w:uiPriority w:val="34"/>
    <w:qFormat/>
    <w:rsid w:val="00D55237"/>
    <w:pPr>
      <w:spacing w:after="200" w:line="276" w:lineRule="auto"/>
      <w:ind w:left="1304"/>
    </w:pPr>
    <w:rPr>
      <w:rFonts w:ascii="Calibri" w:eastAsia="MS Mincho" w:hAnsi="Calibri"/>
      <w:noProof/>
      <w:sz w:val="22"/>
      <w:szCs w:val="22"/>
      <w:lang w:eastAsia="ja-JP"/>
    </w:rPr>
  </w:style>
  <w:style w:type="paragraph" w:styleId="BodyText">
    <w:name w:val="Body Text"/>
    <w:basedOn w:val="Normal"/>
    <w:link w:val="BodyTextChar"/>
    <w:rsid w:val="00E52F1A"/>
    <w:pPr>
      <w:spacing w:before="120" w:after="120" w:line="360" w:lineRule="auto"/>
      <w:jc w:val="both"/>
    </w:pPr>
    <w:rPr>
      <w:rFonts w:ascii="Calibri" w:eastAsia="MS Mincho" w:hAnsi="Calibri"/>
      <w:sz w:val="22"/>
      <w:lang w:val="en-US" w:eastAsia="ja-JP"/>
    </w:rPr>
  </w:style>
  <w:style w:type="character" w:customStyle="1" w:styleId="BodyTextChar">
    <w:name w:val="Body Text Char"/>
    <w:link w:val="BodyText"/>
    <w:rsid w:val="00E52F1A"/>
    <w:rPr>
      <w:sz w:val="22"/>
      <w:lang w:val="en-US"/>
    </w:rPr>
  </w:style>
  <w:style w:type="paragraph" w:styleId="BalloonText">
    <w:name w:val="Balloon Text"/>
    <w:basedOn w:val="Normal"/>
    <w:link w:val="BalloonTextChar"/>
    <w:uiPriority w:val="99"/>
    <w:semiHidden/>
    <w:unhideWhenUsed/>
    <w:rsid w:val="00B074AA"/>
    <w:rPr>
      <w:rFonts w:ascii="Segoe UI" w:hAnsi="Segoe UI" w:cs="Segoe UI"/>
      <w:sz w:val="18"/>
      <w:szCs w:val="18"/>
    </w:rPr>
  </w:style>
  <w:style w:type="character" w:customStyle="1" w:styleId="BalloonTextChar">
    <w:name w:val="Balloon Text Char"/>
    <w:link w:val="BalloonText"/>
    <w:uiPriority w:val="99"/>
    <w:semiHidden/>
    <w:rsid w:val="00B074AA"/>
    <w:rPr>
      <w:rFonts w:ascii="Segoe UI" w:eastAsia="SimSun" w:hAnsi="Segoe UI" w:cs="Segoe UI"/>
      <w:sz w:val="18"/>
      <w:szCs w:val="18"/>
      <w:lang w:eastAsia="en-US"/>
    </w:rPr>
  </w:style>
  <w:style w:type="character" w:styleId="CommentReference">
    <w:name w:val="annotation reference"/>
    <w:uiPriority w:val="99"/>
    <w:semiHidden/>
    <w:unhideWhenUsed/>
    <w:rsid w:val="0097034C"/>
    <w:rPr>
      <w:sz w:val="16"/>
      <w:szCs w:val="16"/>
    </w:rPr>
  </w:style>
  <w:style w:type="paragraph" w:styleId="CommentText">
    <w:name w:val="annotation text"/>
    <w:basedOn w:val="Normal"/>
    <w:link w:val="CommentTextChar"/>
    <w:uiPriority w:val="99"/>
    <w:semiHidden/>
    <w:unhideWhenUsed/>
    <w:rsid w:val="0097034C"/>
  </w:style>
  <w:style w:type="character" w:customStyle="1" w:styleId="CommentTextChar">
    <w:name w:val="Comment Text Char"/>
    <w:link w:val="CommentText"/>
    <w:uiPriority w:val="99"/>
    <w:semiHidden/>
    <w:rsid w:val="0097034C"/>
    <w:rPr>
      <w:rFonts w:ascii="Times New Roman" w:eastAsia="SimSun" w:hAnsi="Times New Roman"/>
      <w:lang w:eastAsia="en-US"/>
    </w:rPr>
  </w:style>
  <w:style w:type="paragraph" w:styleId="CommentSubject">
    <w:name w:val="annotation subject"/>
    <w:basedOn w:val="CommentText"/>
    <w:next w:val="CommentText"/>
    <w:link w:val="CommentSubjectChar"/>
    <w:uiPriority w:val="99"/>
    <w:semiHidden/>
    <w:unhideWhenUsed/>
    <w:rsid w:val="0097034C"/>
    <w:rPr>
      <w:b/>
      <w:bCs/>
    </w:rPr>
  </w:style>
  <w:style w:type="character" w:customStyle="1" w:styleId="CommentSubjectChar">
    <w:name w:val="Comment Subject Char"/>
    <w:link w:val="CommentSubject"/>
    <w:uiPriority w:val="99"/>
    <w:semiHidden/>
    <w:rsid w:val="0097034C"/>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95378">
      <w:bodyDiv w:val="1"/>
      <w:marLeft w:val="0"/>
      <w:marRight w:val="0"/>
      <w:marTop w:val="0"/>
      <w:marBottom w:val="0"/>
      <w:divBdr>
        <w:top w:val="none" w:sz="0" w:space="0" w:color="auto"/>
        <w:left w:val="none" w:sz="0" w:space="0" w:color="auto"/>
        <w:bottom w:val="none" w:sz="0" w:space="0" w:color="auto"/>
        <w:right w:val="none" w:sz="0" w:space="0" w:color="auto"/>
      </w:divBdr>
    </w:div>
    <w:div w:id="720205419">
      <w:bodyDiv w:val="1"/>
      <w:marLeft w:val="0"/>
      <w:marRight w:val="0"/>
      <w:marTop w:val="0"/>
      <w:marBottom w:val="0"/>
      <w:divBdr>
        <w:top w:val="none" w:sz="0" w:space="0" w:color="auto"/>
        <w:left w:val="none" w:sz="0" w:space="0" w:color="auto"/>
        <w:bottom w:val="none" w:sz="0" w:space="0" w:color="auto"/>
        <w:right w:val="none" w:sz="0" w:space="0" w:color="auto"/>
      </w:divBdr>
    </w:div>
    <w:div w:id="1359545943">
      <w:bodyDiv w:val="1"/>
      <w:marLeft w:val="0"/>
      <w:marRight w:val="0"/>
      <w:marTop w:val="0"/>
      <w:marBottom w:val="0"/>
      <w:divBdr>
        <w:top w:val="none" w:sz="0" w:space="0" w:color="auto"/>
        <w:left w:val="none" w:sz="0" w:space="0" w:color="auto"/>
        <w:bottom w:val="none" w:sz="0" w:space="0" w:color="auto"/>
        <w:right w:val="none" w:sz="0" w:space="0" w:color="auto"/>
      </w:divBdr>
    </w:div>
    <w:div w:id="1433166195">
      <w:bodyDiv w:val="1"/>
      <w:marLeft w:val="0"/>
      <w:marRight w:val="0"/>
      <w:marTop w:val="0"/>
      <w:marBottom w:val="0"/>
      <w:divBdr>
        <w:top w:val="none" w:sz="0" w:space="0" w:color="auto"/>
        <w:left w:val="none" w:sz="0" w:space="0" w:color="auto"/>
        <w:bottom w:val="none" w:sz="0" w:space="0" w:color="auto"/>
        <w:right w:val="none" w:sz="0" w:space="0" w:color="auto"/>
      </w:divBdr>
    </w:div>
    <w:div w:id="1534924207">
      <w:bodyDiv w:val="1"/>
      <w:marLeft w:val="0"/>
      <w:marRight w:val="0"/>
      <w:marTop w:val="0"/>
      <w:marBottom w:val="0"/>
      <w:divBdr>
        <w:top w:val="none" w:sz="0" w:space="0" w:color="auto"/>
        <w:left w:val="none" w:sz="0" w:space="0" w:color="auto"/>
        <w:bottom w:val="none" w:sz="0" w:space="0" w:color="auto"/>
        <w:right w:val="none" w:sz="0" w:space="0" w:color="auto"/>
      </w:divBdr>
    </w:div>
    <w:div w:id="1546983377">
      <w:bodyDiv w:val="1"/>
      <w:marLeft w:val="0"/>
      <w:marRight w:val="0"/>
      <w:marTop w:val="0"/>
      <w:marBottom w:val="0"/>
      <w:divBdr>
        <w:top w:val="none" w:sz="0" w:space="0" w:color="auto"/>
        <w:left w:val="none" w:sz="0" w:space="0" w:color="auto"/>
        <w:bottom w:val="none" w:sz="0" w:space="0" w:color="auto"/>
        <w:right w:val="none" w:sz="0" w:space="0" w:color="auto"/>
      </w:divBdr>
    </w:div>
    <w:div w:id="16859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AC151-6B76-4CD4-A0AC-99253A46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Priyanto, Basuki</dc:creator>
  <cp:keywords/>
  <dc:description/>
  <cp:lastModifiedBy>Priyanto, Basuki</cp:lastModifiedBy>
  <cp:revision>7</cp:revision>
  <dcterms:created xsi:type="dcterms:W3CDTF">2016-11-04T10:08:00Z</dcterms:created>
  <dcterms:modified xsi:type="dcterms:W3CDTF">2016-11-04T17:57:00Z</dcterms:modified>
</cp:coreProperties>
</file>